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2BEAE9A5" w:rsidR="007F1A85" w:rsidRPr="00F47DEE" w:rsidRDefault="009922C0" w:rsidP="00CF3582">
            <w:pPr>
              <w:tabs>
                <w:tab w:val="left" w:pos="720"/>
                <w:tab w:val="left" w:pos="1080"/>
                <w:tab w:val="left" w:pos="1725"/>
              </w:tabs>
              <w:rPr>
                <w:rFonts w:ascii="Arial" w:hAnsi="Arial" w:cs="Arial"/>
              </w:rPr>
            </w:pPr>
            <w:r>
              <w:rPr>
                <w:rFonts w:ascii="Arial" w:hAnsi="Arial" w:cs="Arial"/>
              </w:rPr>
              <w:t>February 21, 2023</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4EA13E94"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9922C0">
              <w:rPr>
                <w:rFonts w:ascii="Arial" w:hAnsi="Arial" w:cs="Arial"/>
              </w:rPr>
              <w:t>February 28, 2023</w:t>
            </w:r>
          </w:p>
          <w:p w14:paraId="54AFDC54" w14:textId="79252B04"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3D30D6">
              <w:rPr>
                <w:rFonts w:ascii="Arial" w:hAnsi="Arial" w:cs="Arial"/>
                <w:bCs/>
                <w:szCs w:val="24"/>
              </w:rPr>
              <w:t>4.1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2931ECEE"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9922C0">
              <w:rPr>
                <w:rFonts w:ascii="Arial" w:hAnsi="Arial" w:cs="Arial"/>
                <w:bCs/>
                <w:u w:val="none"/>
              </w:rPr>
              <w:t>Planning Guide Revision Request (PGRR)</w:t>
            </w:r>
            <w:r w:rsidR="00F53FA3">
              <w:rPr>
                <w:rFonts w:ascii="Arial" w:hAnsi="Arial" w:cs="Arial"/>
                <w:bCs/>
                <w:u w:val="none"/>
              </w:rPr>
              <w:t>, and Retail Market Guide Revision Request (RMGRR)</w:t>
            </w:r>
            <w:r w:rsidR="009922C0">
              <w:rPr>
                <w:rFonts w:ascii="Arial" w:hAnsi="Arial" w:cs="Arial"/>
                <w:bCs/>
                <w:u w:val="none"/>
              </w:rPr>
              <w:t xml:space="preserve"> </w:t>
            </w:r>
            <w:r w:rsidRPr="00F47DEE">
              <w:rPr>
                <w:rFonts w:ascii="Arial" w:hAnsi="Arial" w:cs="Arial"/>
                <w:bCs/>
                <w:u w:val="none"/>
              </w:rPr>
              <w:t>recommended for approval by TAC (with no opposing votes recorded):</w:t>
            </w:r>
          </w:p>
          <w:bookmarkEnd w:id="1"/>
          <w:p w14:paraId="4913A244"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NPRR1144, Station Service Backup Power Metering;</w:t>
            </w:r>
          </w:p>
          <w:p w14:paraId="1144E286"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NPRR1147, Update and Improve Notification and Evaluation Processes Associated with Reliability Must-Run (RMR);</w:t>
            </w:r>
          </w:p>
          <w:p w14:paraId="1AB2DDAA"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NPRR1149, Implementation of Systematic Ancillary Service Failed Quantity Charges;</w:t>
            </w:r>
          </w:p>
          <w:p w14:paraId="5AEE71F6"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 xml:space="preserve">NPRR1151, Protocol Revision Subcommittee Meeting Requirement; </w:t>
            </w:r>
          </w:p>
          <w:p w14:paraId="0896D4D8"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 xml:space="preserve">NPRR1153, ERCOT Fee Schedule Changes; </w:t>
            </w:r>
          </w:p>
          <w:p w14:paraId="1D701A38"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NPRR1158, Remove Sunset Date for Weatherization Inspection Fees;</w:t>
            </w:r>
          </w:p>
          <w:p w14:paraId="70AA8F36"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NPRR1159, Related to RMGRR171, Changes to Transition Process That Require Opt-in MOU and EC That Are Designating POLR to Provide Mass Transition Methodology to ERCOT;</w:t>
            </w:r>
          </w:p>
          <w:p w14:paraId="5A4505A6" w14:textId="77777777" w:rsidR="00DA1362" w:rsidRPr="00DA1362" w:rsidRDefault="00DA1362" w:rsidP="00DA1362">
            <w:pPr>
              <w:numPr>
                <w:ilvl w:val="0"/>
                <w:numId w:val="6"/>
              </w:numPr>
              <w:jc w:val="both"/>
              <w:rPr>
                <w:rFonts w:ascii="Arial" w:hAnsi="Arial" w:cs="Arial"/>
                <w:bCs/>
              </w:rPr>
            </w:pPr>
            <w:r w:rsidRPr="00DA1362">
              <w:rPr>
                <w:rFonts w:ascii="Arial" w:hAnsi="Arial" w:cs="Arial"/>
                <w:bCs/>
              </w:rPr>
              <w:t>PGRR102, Dynamic Operation Model Improvement; and</w:t>
            </w:r>
          </w:p>
          <w:p w14:paraId="73A17560" w14:textId="77777777" w:rsidR="009922C0" w:rsidRDefault="00DA1362" w:rsidP="00DA1362">
            <w:pPr>
              <w:numPr>
                <w:ilvl w:val="0"/>
                <w:numId w:val="6"/>
              </w:numPr>
              <w:jc w:val="both"/>
              <w:rPr>
                <w:rFonts w:ascii="Arial" w:hAnsi="Arial" w:cs="Arial"/>
                <w:bCs/>
              </w:rPr>
            </w:pPr>
            <w:r w:rsidRPr="00DA1362">
              <w:rPr>
                <w:rFonts w:ascii="Arial" w:hAnsi="Arial" w:cs="Arial"/>
                <w:bCs/>
              </w:rPr>
              <w:t>RMGRR171, Changes to Transition Process That Require Opt-in MOU and EC That Are Designating POLR to Provide Mass Transition Methodology to ERCOT</w:t>
            </w:r>
            <w:r w:rsidR="00F53FA3">
              <w:rPr>
                <w:rFonts w:ascii="Arial" w:hAnsi="Arial" w:cs="Arial"/>
                <w:bCs/>
              </w:rPr>
              <w:t>.</w:t>
            </w:r>
          </w:p>
          <w:p w14:paraId="4E760282" w14:textId="329AB1BD" w:rsidR="003F72F2" w:rsidRPr="00DA1362" w:rsidRDefault="003F72F2" w:rsidP="003F72F2">
            <w:pPr>
              <w:jc w:val="bot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5E3961">
            <w:pPr>
              <w:pStyle w:val="Heading5"/>
              <w:keepNext w:val="0"/>
              <w:jc w:val="both"/>
              <w:rPr>
                <w:rFonts w:ascii="Arial" w:hAnsi="Arial" w:cs="Arial"/>
                <w:b/>
                <w:bCs/>
              </w:rPr>
            </w:pPr>
            <w:r w:rsidRPr="005E3961">
              <w:rPr>
                <w:rFonts w:ascii="Arial" w:hAnsi="Arial" w:cs="Arial"/>
                <w:b/>
                <w:bCs/>
              </w:rPr>
              <w:t>Background/History:</w:t>
            </w:r>
          </w:p>
          <w:p w14:paraId="5B9CF010" w14:textId="04A6EAB4" w:rsidR="006720B6" w:rsidRPr="005E3961" w:rsidRDefault="00167741" w:rsidP="005E3961">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Staff</w:t>
            </w:r>
            <w:r w:rsidR="003F72F2">
              <w:rPr>
                <w:rFonts w:ascii="Arial" w:hAnsi="Arial" w:cs="Arial"/>
                <w:b/>
                <w:bCs/>
              </w:rPr>
              <w:t>,</w:t>
            </w:r>
            <w:r w:rsidR="004B0B15">
              <w:rPr>
                <w:rFonts w:ascii="Arial" w:hAnsi="Arial" w:cs="Arial"/>
                <w:b/>
                <w:bCs/>
              </w:rPr>
              <w:t xml:space="preserve"> </w:t>
            </w:r>
            <w:r w:rsidRPr="005E3961">
              <w:rPr>
                <w:rFonts w:ascii="Arial" w:hAnsi="Arial" w:cs="Arial"/>
                <w:b/>
                <w:bCs/>
              </w:rPr>
              <w:t>the Credit Work Group (Credit WG)</w:t>
            </w:r>
            <w:r w:rsidR="00BD42A3">
              <w:rPr>
                <w:rFonts w:ascii="Arial" w:hAnsi="Arial" w:cs="Arial"/>
                <w:b/>
                <w:bCs/>
              </w:rPr>
              <w:t xml:space="preserve"> and/or Market Credit Working Group (MCWG)</w:t>
            </w:r>
            <w:r w:rsidRPr="005E3961">
              <w:rPr>
                <w:rFonts w:ascii="Arial" w:hAnsi="Arial" w:cs="Arial"/>
                <w:b/>
                <w:bCs/>
              </w:rPr>
              <w:t xml:space="preserve"> 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(iii) ERCOT supports the revision request</w:t>
            </w:r>
            <w:r w:rsidR="009922C0">
              <w:rPr>
                <w:rFonts w:ascii="Arial" w:hAnsi="Arial" w:cs="Arial"/>
                <w:b/>
                <w:bCs/>
              </w:rPr>
              <w:t>; and (iv) the Independent Market Monitor has no opinion on the revision request.</w:t>
            </w:r>
          </w:p>
          <w:p w14:paraId="478AEBC4" w14:textId="77777777" w:rsidR="005E3961" w:rsidRPr="005E3961" w:rsidRDefault="005E3961" w:rsidP="005E3961">
            <w:pPr>
              <w:ind w:left="360"/>
              <w:rPr>
                <w:rFonts w:ascii="Arial" w:hAnsi="Arial" w:cs="Arial"/>
                <w:b/>
                <w:i/>
              </w:rPr>
            </w:pPr>
          </w:p>
          <w:p w14:paraId="73201EC7" w14:textId="57824147" w:rsidR="009922C0" w:rsidRDefault="009922C0" w:rsidP="003F72F2">
            <w:pPr>
              <w:numPr>
                <w:ilvl w:val="0"/>
                <w:numId w:val="15"/>
              </w:numPr>
              <w:jc w:val="both"/>
              <w:rPr>
                <w:rFonts w:ascii="Arial" w:hAnsi="Arial" w:cs="Arial"/>
                <w:b/>
                <w:i/>
              </w:rPr>
            </w:pPr>
            <w:r w:rsidRPr="009922C0">
              <w:rPr>
                <w:rFonts w:ascii="Arial" w:hAnsi="Arial" w:cs="Arial"/>
                <w:b/>
                <w:i/>
              </w:rPr>
              <w:t xml:space="preserve">NPRR1144, Station Service Backup Power Metering </w:t>
            </w:r>
          </w:p>
          <w:p w14:paraId="2C9B4021" w14:textId="4CA7AC1A" w:rsidR="009922C0" w:rsidRPr="009922C0" w:rsidRDefault="009922C0" w:rsidP="003F72F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Plus Power</w:t>
            </w:r>
          </w:p>
          <w:p w14:paraId="3249A551" w14:textId="77777777" w:rsidR="009922C0" w:rsidRPr="009922C0" w:rsidRDefault="009922C0" w:rsidP="003F72F2">
            <w:pPr>
              <w:pStyle w:val="BodyText"/>
              <w:spacing w:before="0" w:after="0"/>
              <w:ind w:left="360"/>
              <w:jc w:val="both"/>
              <w:rPr>
                <w:rFonts w:ascii="Arial" w:hAnsi="Arial" w:cs="Arial"/>
              </w:rPr>
            </w:pPr>
            <w:r w:rsidRPr="009922C0">
              <w:rPr>
                <w:rFonts w:ascii="Arial" w:hAnsi="Arial" w:cs="Arial"/>
                <w:b/>
              </w:rPr>
              <w:t xml:space="preserve">Proposed Effective Date:  </w:t>
            </w:r>
            <w:r w:rsidRPr="009922C0">
              <w:rPr>
                <w:rFonts w:ascii="Arial" w:hAnsi="Arial" w:cs="Arial"/>
              </w:rPr>
              <w:t>April 1, 2023</w:t>
            </w:r>
          </w:p>
          <w:p w14:paraId="4E57D2FE" w14:textId="77777777" w:rsidR="009922C0" w:rsidRPr="009922C0" w:rsidRDefault="009922C0"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9922C0">
              <w:rPr>
                <w:rFonts w:ascii="Arial" w:hAnsi="Arial" w:cs="Arial"/>
              </w:rPr>
              <w:t>No budgetary impact; no impacts to ERCOT staffing; no impacts to ERCOT computer systems; ERCOT business processes will be updated; no impacts to ERCOT grid operations and practices.</w:t>
            </w:r>
          </w:p>
          <w:p w14:paraId="1A462774" w14:textId="77777777" w:rsidR="009922C0" w:rsidRPr="009922C0" w:rsidRDefault="009922C0" w:rsidP="003F72F2">
            <w:pPr>
              <w:ind w:left="360"/>
              <w:jc w:val="both"/>
              <w:rPr>
                <w:rFonts w:ascii="Arial" w:hAnsi="Arial" w:cs="Arial"/>
              </w:rPr>
            </w:pPr>
            <w:r w:rsidRPr="009922C0">
              <w:rPr>
                <w:rFonts w:ascii="Arial" w:hAnsi="Arial" w:cs="Arial"/>
                <w:b/>
              </w:rPr>
              <w:lastRenderedPageBreak/>
              <w:t xml:space="preserve">Revision Description:  </w:t>
            </w:r>
            <w:r w:rsidRPr="009922C0">
              <w:rPr>
                <w:rFonts w:ascii="Arial" w:hAnsi="Arial" w:cs="Arial"/>
              </w:rPr>
              <w:t xml:space="preserve">This NPRR provides a limited exception to the requirement that all loads included in the netting arrangement for an ERCOT-Polled Settlement (EPS) Metering Facility only be connected to the ERCOT Transmission Grid through the EPS metering point(s) for the Facility.  The exception would allow no more than 500kW of auxiliary Load connected to a station service transformer to be connected to a Transmission Service Provider’s (TSP’s) or Distribution Service Provider’s (DSP’s) Facilities through a separately metered point using an open transition load transfer switch listed for emergency use.  </w:t>
            </w:r>
          </w:p>
          <w:p w14:paraId="10644411" w14:textId="470BBC54" w:rsidR="009922C0" w:rsidRDefault="00242C88" w:rsidP="003F72F2">
            <w:pPr>
              <w:ind w:left="360"/>
              <w:jc w:val="both"/>
              <w:rPr>
                <w:rFonts w:ascii="Arial" w:hAnsi="Arial" w:cs="Arial"/>
              </w:rPr>
            </w:pPr>
            <w:r>
              <w:rPr>
                <w:rFonts w:ascii="Arial" w:hAnsi="Arial" w:cs="Arial"/>
                <w:b/>
              </w:rPr>
              <w:t xml:space="preserve">TAC </w:t>
            </w:r>
            <w:r w:rsidR="009922C0" w:rsidRPr="009922C0">
              <w:rPr>
                <w:rFonts w:ascii="Arial" w:hAnsi="Arial" w:cs="Arial"/>
                <w:b/>
              </w:rPr>
              <w:t>Decision:</w:t>
            </w:r>
            <w:r w:rsidR="009922C0" w:rsidRPr="009922C0">
              <w:rPr>
                <w:rFonts w:ascii="Arial" w:hAnsi="Arial" w:cs="Arial"/>
              </w:rPr>
              <w:t xml:space="preserve">  </w:t>
            </w:r>
            <w:r w:rsidRPr="00242C88">
              <w:rPr>
                <w:rFonts w:ascii="Arial" w:hAnsi="Arial" w:cs="Arial"/>
              </w:rPr>
              <w:t xml:space="preserve">On 1/24/23, TAC voted to recommend approval of NPRR1144 as recommended by PRS in the 12/8/22 PRS Report. There was one abstention from the </w:t>
            </w:r>
            <w:r w:rsidR="004B0B15">
              <w:rPr>
                <w:rFonts w:ascii="Arial" w:hAnsi="Arial" w:cs="Arial"/>
              </w:rPr>
              <w:t>Investor Owned Utility (</w:t>
            </w:r>
            <w:r w:rsidRPr="00242C88">
              <w:rPr>
                <w:rFonts w:ascii="Arial" w:hAnsi="Arial" w:cs="Arial"/>
              </w:rPr>
              <w:t>IOU</w:t>
            </w:r>
            <w:r w:rsidR="004B0B15">
              <w:rPr>
                <w:rFonts w:ascii="Arial" w:hAnsi="Arial" w:cs="Arial"/>
              </w:rPr>
              <w:t>)</w:t>
            </w:r>
            <w:r w:rsidRPr="00242C88">
              <w:rPr>
                <w:rFonts w:ascii="Arial" w:hAnsi="Arial" w:cs="Arial"/>
              </w:rPr>
              <w:t xml:space="preserve"> (CNP) Market Segment.  </w:t>
            </w:r>
          </w:p>
          <w:p w14:paraId="35A22EBC" w14:textId="05FDAB6D" w:rsidR="00242C88" w:rsidRPr="00242C88" w:rsidRDefault="00242C88" w:rsidP="003F72F2">
            <w:pPr>
              <w:ind w:left="360"/>
              <w:jc w:val="both"/>
              <w:rPr>
                <w:rFonts w:ascii="Arial" w:hAnsi="Arial"/>
              </w:rPr>
            </w:pPr>
            <w:r>
              <w:rPr>
                <w:rFonts w:ascii="Arial" w:hAnsi="Arial" w:cs="Arial"/>
                <w:b/>
              </w:rPr>
              <w:t>ERCOT Market Impact Statement:</w:t>
            </w:r>
            <w:r>
              <w:rPr>
                <w:rFonts w:ascii="Arial" w:hAnsi="Arial" w:cs="Arial"/>
              </w:rPr>
              <w:t xml:space="preserve">  </w:t>
            </w:r>
            <w:r w:rsidRPr="00EE2566">
              <w:rPr>
                <w:rFonts w:ascii="Arial" w:hAnsi="Arial"/>
              </w:rPr>
              <w:t xml:space="preserve">ERCOT Staff has reviewed NPRR1144 and believes NPRR1144 provides a defined and limited exception to EPS </w:t>
            </w:r>
            <w:r>
              <w:rPr>
                <w:rFonts w:ascii="Arial" w:hAnsi="Arial"/>
              </w:rPr>
              <w:t>m</w:t>
            </w:r>
            <w:r w:rsidRPr="00EE2566">
              <w:rPr>
                <w:rFonts w:ascii="Arial" w:hAnsi="Arial"/>
              </w:rPr>
              <w:t xml:space="preserve">etering requirements for generation site auxiliary Loads, not exceeding 500kW, to be isolated and connected to an alternate feed through a </w:t>
            </w:r>
            <w:r w:rsidR="004B0B15">
              <w:rPr>
                <w:rFonts w:ascii="Arial" w:hAnsi="Arial"/>
              </w:rPr>
              <w:t>Transmission and/or Distribution Service Provider (</w:t>
            </w:r>
            <w:r w:rsidRPr="00EE2566">
              <w:rPr>
                <w:rFonts w:ascii="Arial" w:hAnsi="Arial"/>
              </w:rPr>
              <w:t>TDSP</w:t>
            </w:r>
            <w:r w:rsidR="004B0B15">
              <w:rPr>
                <w:rFonts w:ascii="Arial" w:hAnsi="Arial"/>
              </w:rPr>
              <w:t>)</w:t>
            </w:r>
            <w:r w:rsidRPr="00EE2566">
              <w:rPr>
                <w:rFonts w:ascii="Arial" w:hAnsi="Arial"/>
              </w:rPr>
              <w:t xml:space="preserve"> read metering point.</w:t>
            </w:r>
          </w:p>
          <w:p w14:paraId="7193F91E" w14:textId="77777777" w:rsidR="009922C0" w:rsidRPr="009922C0" w:rsidRDefault="009922C0" w:rsidP="003F72F2">
            <w:pPr>
              <w:ind w:left="360"/>
              <w:jc w:val="both"/>
              <w:rPr>
                <w:rFonts w:ascii="Arial" w:hAnsi="Arial" w:cs="Arial"/>
                <w:b/>
                <w:i/>
              </w:rPr>
            </w:pPr>
          </w:p>
          <w:p w14:paraId="6F6461D0" w14:textId="77777777" w:rsidR="009922C0" w:rsidRDefault="009922C0" w:rsidP="003F72F2">
            <w:pPr>
              <w:numPr>
                <w:ilvl w:val="0"/>
                <w:numId w:val="15"/>
              </w:numPr>
              <w:jc w:val="both"/>
              <w:rPr>
                <w:rFonts w:ascii="Arial" w:hAnsi="Arial" w:cs="Arial"/>
                <w:b/>
                <w:i/>
              </w:rPr>
            </w:pPr>
            <w:r w:rsidRPr="009922C0">
              <w:rPr>
                <w:rFonts w:ascii="Arial" w:hAnsi="Arial" w:cs="Arial"/>
                <w:b/>
                <w:i/>
              </w:rPr>
              <w:t>NPRR1147, Update and Improve Notification and Evaluation Processes Associated with Reliability Must-Run (RMR)</w:t>
            </w:r>
          </w:p>
          <w:p w14:paraId="54C8F5E6" w14:textId="3A0A4F86" w:rsidR="009922C0" w:rsidRPr="009922C0" w:rsidRDefault="009922C0" w:rsidP="003F72F2">
            <w:pPr>
              <w:ind w:left="360"/>
              <w:jc w:val="both"/>
              <w:rPr>
                <w:rFonts w:ascii="Arial" w:hAnsi="Arial" w:cs="Arial"/>
                <w:b/>
                <w:i/>
              </w:rPr>
            </w:pPr>
            <w:r w:rsidRPr="009922C0">
              <w:rPr>
                <w:rFonts w:ascii="Arial" w:hAnsi="Arial" w:cs="Arial"/>
                <w:b/>
                <w:iCs/>
              </w:rPr>
              <w:t>Submitter:</w:t>
            </w:r>
            <w:r>
              <w:rPr>
                <w:rFonts w:ascii="Arial" w:hAnsi="Arial" w:cs="Arial"/>
                <w:b/>
                <w:i/>
              </w:rPr>
              <w:t xml:space="preserve">  </w:t>
            </w:r>
            <w:r w:rsidRPr="005537E3">
              <w:rPr>
                <w:rFonts w:ascii="Arial" w:hAnsi="Arial" w:cs="Arial"/>
                <w:bCs/>
                <w:iCs/>
              </w:rPr>
              <w:t>ERCOT</w:t>
            </w:r>
          </w:p>
          <w:p w14:paraId="3C8E5817" w14:textId="77777777" w:rsidR="009922C0" w:rsidRPr="009922C0" w:rsidRDefault="009922C0" w:rsidP="003F72F2">
            <w:pPr>
              <w:pStyle w:val="BodyText"/>
              <w:spacing w:before="0" w:after="0"/>
              <w:ind w:left="360"/>
              <w:jc w:val="both"/>
              <w:rPr>
                <w:rFonts w:ascii="Arial" w:hAnsi="Arial" w:cs="Arial"/>
              </w:rPr>
            </w:pPr>
            <w:r w:rsidRPr="009922C0">
              <w:rPr>
                <w:rFonts w:ascii="Arial" w:hAnsi="Arial" w:cs="Arial"/>
                <w:b/>
              </w:rPr>
              <w:t xml:space="preserve">Proposed Effective Date:  </w:t>
            </w:r>
            <w:r w:rsidRPr="009922C0">
              <w:rPr>
                <w:rFonts w:ascii="Arial" w:hAnsi="Arial" w:cs="Arial"/>
              </w:rPr>
              <w:t>April 1, 2023</w:t>
            </w:r>
          </w:p>
          <w:p w14:paraId="3BD63489" w14:textId="77777777" w:rsidR="009922C0" w:rsidRPr="009922C0" w:rsidRDefault="009922C0"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9922C0">
              <w:rPr>
                <w:rFonts w:ascii="Arial" w:hAnsi="Arial" w:cs="Arial"/>
              </w:rPr>
              <w:t>No budgetary impact; ongoing impacts to ERCOT System Development department of 0.3 Full-Time Employees (FTEs); no impacts to ERCOT computer systems; ERCOT business processes will be updated; no impacts to ERCOT grid operations and practices. (ERCOT is able to absorb the effort and will not require additional staff.)</w:t>
            </w:r>
          </w:p>
          <w:p w14:paraId="23AA3EDE" w14:textId="2999FF83" w:rsidR="009922C0" w:rsidRPr="009922C0" w:rsidRDefault="009922C0" w:rsidP="003F72F2">
            <w:pPr>
              <w:ind w:left="360"/>
              <w:jc w:val="both"/>
              <w:rPr>
                <w:rFonts w:ascii="Arial" w:hAnsi="Arial" w:cs="Arial"/>
              </w:rPr>
            </w:pPr>
            <w:r w:rsidRPr="009922C0">
              <w:rPr>
                <w:rFonts w:ascii="Arial" w:hAnsi="Arial" w:cs="Arial"/>
                <w:b/>
              </w:rPr>
              <w:t xml:space="preserve">Revision Description:  </w:t>
            </w:r>
            <w:r w:rsidRPr="009922C0">
              <w:rPr>
                <w:rFonts w:ascii="Arial" w:hAnsi="Arial" w:cs="Arial"/>
              </w:rPr>
              <w:t>This NPRR adds a 20 MW capacity threshold for conducting a</w:t>
            </w:r>
            <w:r w:rsidR="00CD5728">
              <w:rPr>
                <w:rFonts w:ascii="Arial" w:hAnsi="Arial" w:cs="Arial"/>
              </w:rPr>
              <w:t xml:space="preserve">n </w:t>
            </w:r>
            <w:r w:rsidRPr="009922C0">
              <w:rPr>
                <w:rFonts w:ascii="Arial" w:hAnsi="Arial" w:cs="Arial"/>
              </w:rPr>
              <w:t>RMR reliability analysis; requires that an RMR study be conducted when a Resource Entity gives notice that a Generation Resource is ceasing operation permanently due to a Forced Outage; and updates Section 22, Attachment E, Notification of Suspension of Operations, to require Resource Entity to provide information about deactivation of Transmission Facilities as part of the suspension of operations of the unit.</w:t>
            </w:r>
          </w:p>
          <w:p w14:paraId="553A8EFB" w14:textId="02BDE7B2" w:rsidR="009922C0" w:rsidRDefault="00242C88" w:rsidP="003F72F2">
            <w:pPr>
              <w:ind w:left="360"/>
              <w:jc w:val="both"/>
              <w:rPr>
                <w:rFonts w:ascii="Arial" w:hAnsi="Arial" w:cs="Arial"/>
              </w:rPr>
            </w:pPr>
            <w:r>
              <w:rPr>
                <w:rFonts w:ascii="Arial" w:hAnsi="Arial" w:cs="Arial"/>
                <w:b/>
              </w:rPr>
              <w:t>TAC</w:t>
            </w:r>
            <w:r w:rsidR="009922C0" w:rsidRPr="009922C0">
              <w:rPr>
                <w:rFonts w:ascii="Arial" w:hAnsi="Arial" w:cs="Arial"/>
                <w:b/>
              </w:rPr>
              <w:t xml:space="preserve"> Decision:</w:t>
            </w:r>
            <w:r w:rsidR="009922C0" w:rsidRPr="009922C0">
              <w:rPr>
                <w:rFonts w:ascii="Arial" w:hAnsi="Arial" w:cs="Arial"/>
              </w:rPr>
              <w:t xml:space="preserve">  </w:t>
            </w:r>
            <w:r w:rsidRPr="00242C88">
              <w:rPr>
                <w:rFonts w:ascii="Arial" w:hAnsi="Arial" w:cs="Arial"/>
              </w:rPr>
              <w:t xml:space="preserve">On 1/24/23, TAC voted unanimously to recommend approval of NPRR1147 as recommended by PRS in the 12/8/22 PRS Report.  </w:t>
            </w:r>
          </w:p>
          <w:p w14:paraId="4BEC4ED8" w14:textId="1E52AB6A" w:rsidR="00242C88" w:rsidRPr="00242C88" w:rsidRDefault="00242C88" w:rsidP="003F72F2">
            <w:pPr>
              <w:ind w:left="360"/>
              <w:jc w:val="both"/>
              <w:rPr>
                <w:rFonts w:ascii="Arial" w:hAnsi="Arial"/>
              </w:rPr>
            </w:pPr>
            <w:r>
              <w:rPr>
                <w:rFonts w:ascii="Arial" w:hAnsi="Arial" w:cs="Arial"/>
                <w:b/>
              </w:rPr>
              <w:t>ERCOT Market Impact Statement:</w:t>
            </w:r>
            <w:r>
              <w:rPr>
                <w:rFonts w:ascii="Arial" w:hAnsi="Arial" w:cs="Arial"/>
              </w:rPr>
              <w:t xml:space="preserve">  </w:t>
            </w:r>
            <w:r w:rsidRPr="00242C88">
              <w:rPr>
                <w:rFonts w:ascii="Arial" w:hAnsi="Arial"/>
              </w:rPr>
              <w:t>ERCOT Staff has reviewed NPRR1147 and believes the market impact for NPRR1147 improves the efficiency of, and provides clarifications to, RMR analysis.</w:t>
            </w:r>
          </w:p>
          <w:p w14:paraId="428C2633" w14:textId="77777777" w:rsidR="009922C0" w:rsidRPr="009922C0" w:rsidRDefault="009922C0" w:rsidP="003F72F2">
            <w:pPr>
              <w:jc w:val="both"/>
              <w:rPr>
                <w:rFonts w:ascii="Arial" w:hAnsi="Arial" w:cs="Arial"/>
                <w:b/>
                <w:i/>
              </w:rPr>
            </w:pPr>
          </w:p>
          <w:p w14:paraId="22881918" w14:textId="77777777" w:rsidR="009922C0" w:rsidRDefault="009922C0" w:rsidP="003F72F2">
            <w:pPr>
              <w:numPr>
                <w:ilvl w:val="0"/>
                <w:numId w:val="15"/>
              </w:numPr>
              <w:jc w:val="both"/>
              <w:rPr>
                <w:rFonts w:ascii="Arial" w:hAnsi="Arial" w:cs="Arial"/>
                <w:b/>
                <w:i/>
              </w:rPr>
            </w:pPr>
            <w:r w:rsidRPr="009922C0">
              <w:rPr>
                <w:rFonts w:ascii="Arial" w:hAnsi="Arial" w:cs="Arial"/>
                <w:b/>
                <w:i/>
              </w:rPr>
              <w:t xml:space="preserve">NPRR1149, Implementation of Systematic Ancillary Service Failed Quantity Charges </w:t>
            </w:r>
          </w:p>
          <w:p w14:paraId="15A24567" w14:textId="49AAC665" w:rsidR="009922C0" w:rsidRPr="009922C0" w:rsidRDefault="009922C0" w:rsidP="003F72F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0D4D2FDA" w14:textId="77777777" w:rsidR="009922C0" w:rsidRPr="009922C0" w:rsidRDefault="009922C0" w:rsidP="003F72F2">
            <w:pPr>
              <w:pStyle w:val="BodyText"/>
              <w:spacing w:before="0" w:after="0"/>
              <w:ind w:left="360"/>
              <w:jc w:val="both"/>
              <w:rPr>
                <w:rFonts w:ascii="Arial" w:hAnsi="Arial" w:cs="Arial"/>
              </w:rPr>
            </w:pPr>
            <w:r w:rsidRPr="009922C0">
              <w:rPr>
                <w:rFonts w:ascii="Arial" w:hAnsi="Arial" w:cs="Arial"/>
                <w:b/>
              </w:rPr>
              <w:t xml:space="preserve">Proposed Effective Date:  </w:t>
            </w:r>
            <w:r w:rsidRPr="009922C0">
              <w:rPr>
                <w:rFonts w:ascii="Arial" w:hAnsi="Arial" w:cs="Arial"/>
              </w:rPr>
              <w:t xml:space="preserve">Upon system implementation </w:t>
            </w:r>
            <w:r w:rsidRPr="009922C0">
              <w:rPr>
                <w:rFonts w:ascii="Arial" w:hAnsi="Arial" w:cs="Arial"/>
                <w:bCs/>
              </w:rPr>
              <w:t>– Priority 2023; Rank 3780</w:t>
            </w:r>
          </w:p>
          <w:p w14:paraId="653170D8" w14:textId="77777777" w:rsidR="009922C0" w:rsidRPr="009922C0" w:rsidRDefault="009922C0" w:rsidP="003F72F2">
            <w:pPr>
              <w:pStyle w:val="BodyText"/>
              <w:spacing w:before="0" w:after="0"/>
              <w:ind w:left="360"/>
              <w:jc w:val="both"/>
              <w:rPr>
                <w:rFonts w:ascii="Arial" w:hAnsi="Arial" w:cs="Arial"/>
                <w:i/>
              </w:rPr>
            </w:pPr>
            <w:r w:rsidRPr="009922C0">
              <w:rPr>
                <w:rFonts w:ascii="Arial" w:hAnsi="Arial" w:cs="Arial"/>
                <w:b/>
              </w:rPr>
              <w:lastRenderedPageBreak/>
              <w:t xml:space="preserve">ERCOT Impact Analysis:  </w:t>
            </w:r>
            <w:r w:rsidRPr="009922C0">
              <w:rPr>
                <w:rFonts w:ascii="Arial" w:hAnsi="Arial" w:cs="Arial"/>
              </w:rPr>
              <w:t>Between $120K and $160K; no impacts to ERCOT staffing; impacts to Settlements &amp; Billing Systems, Market Operation Systems, and Data Management &amp; Analytic Systems; no impacts to ERCOT business processes; no impacts to ERCOT grid operations and practices.</w:t>
            </w:r>
          </w:p>
          <w:p w14:paraId="34C30694" w14:textId="77777777" w:rsidR="009922C0" w:rsidRPr="009922C0" w:rsidRDefault="009922C0" w:rsidP="003F72F2">
            <w:pPr>
              <w:ind w:left="360"/>
              <w:jc w:val="both"/>
              <w:rPr>
                <w:rFonts w:ascii="Arial" w:hAnsi="Arial" w:cs="Arial"/>
              </w:rPr>
            </w:pPr>
            <w:r w:rsidRPr="009922C0">
              <w:rPr>
                <w:rFonts w:ascii="Arial" w:hAnsi="Arial" w:cs="Arial"/>
                <w:b/>
              </w:rPr>
              <w:t xml:space="preserve">Revision Description:  </w:t>
            </w:r>
            <w:r w:rsidRPr="009922C0">
              <w:rPr>
                <w:rFonts w:ascii="Arial" w:hAnsi="Arial" w:cs="Arial"/>
              </w:rPr>
              <w:t>This NPRR charges a Qualified Scheduling Entity (QSE) an Ancillary Service failed quantity if the Ancillary Service Supply Responsibility held by the QSE is not met by Resources in their portfolio in Real-Time, based on a comparison of their Real-Time telemetry.  The charges will be done systematically without ERCOT Operators having to take additional action.</w:t>
            </w:r>
          </w:p>
          <w:p w14:paraId="38E03C20" w14:textId="3F115EB2" w:rsidR="009922C0" w:rsidRDefault="00242C88" w:rsidP="003F72F2">
            <w:pPr>
              <w:ind w:left="360"/>
              <w:jc w:val="both"/>
              <w:rPr>
                <w:rFonts w:ascii="Arial" w:hAnsi="Arial" w:cs="Arial"/>
              </w:rPr>
            </w:pPr>
            <w:r>
              <w:rPr>
                <w:rFonts w:ascii="Arial" w:hAnsi="Arial" w:cs="Arial"/>
                <w:b/>
              </w:rPr>
              <w:t xml:space="preserve">TAC </w:t>
            </w:r>
            <w:r w:rsidR="009922C0" w:rsidRPr="009922C0">
              <w:rPr>
                <w:rFonts w:ascii="Arial" w:hAnsi="Arial" w:cs="Arial"/>
                <w:b/>
              </w:rPr>
              <w:t>Decision:</w:t>
            </w:r>
            <w:r w:rsidR="009922C0" w:rsidRPr="009922C0">
              <w:rPr>
                <w:rFonts w:ascii="Arial" w:hAnsi="Arial" w:cs="Arial"/>
              </w:rPr>
              <w:t xml:space="preserve">  </w:t>
            </w:r>
            <w:r w:rsidRPr="00242C88">
              <w:rPr>
                <w:rFonts w:ascii="Arial" w:hAnsi="Arial" w:cs="Arial"/>
              </w:rPr>
              <w:t xml:space="preserve">On 1/24/23, TAC voted unanimously to recommend approval of NPRR1149 as recommended by PRS in the 1/17/23 PRS Report.  </w:t>
            </w:r>
          </w:p>
          <w:p w14:paraId="4E043292" w14:textId="76603AFF" w:rsidR="00242C88" w:rsidRDefault="00242C88" w:rsidP="003F72F2">
            <w:pPr>
              <w:ind w:left="360"/>
              <w:jc w:val="both"/>
              <w:rPr>
                <w:rFonts w:ascii="Arial" w:hAnsi="Arial"/>
              </w:rPr>
            </w:pPr>
            <w:r>
              <w:rPr>
                <w:rFonts w:ascii="Arial" w:hAnsi="Arial" w:cs="Arial"/>
                <w:b/>
              </w:rPr>
              <w:t>ERCOT Market Impact Statement:</w:t>
            </w:r>
            <w:r>
              <w:rPr>
                <w:rFonts w:ascii="Arial" w:hAnsi="Arial" w:cs="Arial"/>
              </w:rPr>
              <w:t xml:space="preserve">  </w:t>
            </w:r>
            <w:r w:rsidRPr="00242C88">
              <w:rPr>
                <w:rFonts w:ascii="Arial" w:hAnsi="Arial"/>
              </w:rPr>
              <w:t>ERCOT Staff has reviewed NPRR1149 and believes the market impact for NPRR1149 is an improvement in the process for invoking “failure to provide” Settlement.  This better ensures that Market Participants are not compensated for services that they were unable to provide in Real-Time and provides transparency as to how this Settlement will be applied.</w:t>
            </w:r>
          </w:p>
          <w:p w14:paraId="186AA337" w14:textId="3444A312" w:rsidR="00242C88" w:rsidRPr="00242C88" w:rsidRDefault="00242C88" w:rsidP="003F72F2">
            <w:pPr>
              <w:ind w:left="360"/>
              <w:jc w:val="both"/>
              <w:rPr>
                <w:rFonts w:ascii="Arial" w:hAnsi="Arial"/>
              </w:rPr>
            </w:pPr>
            <w:r>
              <w:rPr>
                <w:rFonts w:ascii="Arial" w:hAnsi="Arial" w:cs="Arial"/>
                <w:b/>
              </w:rPr>
              <w:t>IMM Opinion:</w:t>
            </w:r>
            <w:r>
              <w:rPr>
                <w:rFonts w:ascii="Arial" w:hAnsi="Arial"/>
              </w:rPr>
              <w:t xml:space="preserve">  </w:t>
            </w:r>
            <w:r w:rsidRPr="00242C88">
              <w:rPr>
                <w:rFonts w:ascii="Arial" w:hAnsi="Arial"/>
              </w:rPr>
              <w:t>The IMM supports the approval of NPRR1149 for reasons laid out in the 9/20/22 IMM comments.</w:t>
            </w:r>
          </w:p>
          <w:p w14:paraId="0D6F61BC" w14:textId="77777777" w:rsidR="009922C0" w:rsidRPr="009922C0" w:rsidRDefault="009922C0" w:rsidP="003F72F2">
            <w:pPr>
              <w:jc w:val="both"/>
              <w:rPr>
                <w:rFonts w:ascii="Arial" w:hAnsi="Arial" w:cs="Arial"/>
                <w:b/>
                <w:i/>
              </w:rPr>
            </w:pPr>
          </w:p>
          <w:p w14:paraId="419B0DB5" w14:textId="77777777" w:rsidR="009922C0" w:rsidRDefault="009922C0" w:rsidP="003F72F2">
            <w:pPr>
              <w:numPr>
                <w:ilvl w:val="0"/>
                <w:numId w:val="15"/>
              </w:numPr>
              <w:jc w:val="both"/>
              <w:rPr>
                <w:rFonts w:ascii="Arial" w:hAnsi="Arial" w:cs="Arial"/>
                <w:b/>
                <w:i/>
              </w:rPr>
            </w:pPr>
            <w:r w:rsidRPr="009922C0">
              <w:rPr>
                <w:rFonts w:ascii="Arial" w:hAnsi="Arial" w:cs="Arial"/>
                <w:b/>
                <w:i/>
              </w:rPr>
              <w:t>NPRR1151, Protocol Revision Subcommittee Meeting Requirement</w:t>
            </w:r>
          </w:p>
          <w:p w14:paraId="05050F11" w14:textId="2ED4DD59" w:rsidR="009922C0" w:rsidRPr="009922C0" w:rsidRDefault="009922C0" w:rsidP="003F72F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Oncor</w:t>
            </w:r>
          </w:p>
          <w:p w14:paraId="2E1FA145" w14:textId="77777777" w:rsidR="009922C0" w:rsidRPr="009922C0" w:rsidRDefault="009922C0" w:rsidP="003F72F2">
            <w:pPr>
              <w:pStyle w:val="BodyText"/>
              <w:spacing w:before="0" w:after="0"/>
              <w:ind w:left="360"/>
              <w:jc w:val="both"/>
              <w:rPr>
                <w:rFonts w:ascii="Arial" w:hAnsi="Arial" w:cs="Arial"/>
              </w:rPr>
            </w:pPr>
            <w:r w:rsidRPr="009922C0">
              <w:rPr>
                <w:rFonts w:ascii="Arial" w:hAnsi="Arial" w:cs="Arial"/>
                <w:b/>
              </w:rPr>
              <w:t xml:space="preserve">Proposed Effective Date:  </w:t>
            </w:r>
            <w:r w:rsidRPr="009922C0">
              <w:rPr>
                <w:rFonts w:ascii="Arial" w:hAnsi="Arial" w:cs="Arial"/>
              </w:rPr>
              <w:t>April 1, 2023</w:t>
            </w:r>
          </w:p>
          <w:p w14:paraId="0E7AA059" w14:textId="77777777" w:rsidR="009922C0" w:rsidRPr="009922C0" w:rsidRDefault="009922C0"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9922C0">
              <w:rPr>
                <w:rFonts w:ascii="Arial" w:hAnsi="Arial" w:cs="Arial"/>
              </w:rPr>
              <w:t>No budgetary impact; no impacts to ERCOT staffing; no impacts to ERCOT computer systems; no impacts to ERCOT business processes; no impacts to ERCOT grid operations and practices.</w:t>
            </w:r>
          </w:p>
          <w:p w14:paraId="1166265D" w14:textId="77777777" w:rsidR="009922C0" w:rsidRPr="009922C0" w:rsidRDefault="009922C0" w:rsidP="003F72F2">
            <w:pPr>
              <w:ind w:left="360"/>
              <w:jc w:val="both"/>
              <w:rPr>
                <w:rFonts w:ascii="Arial" w:hAnsi="Arial" w:cs="Arial"/>
              </w:rPr>
            </w:pPr>
            <w:r w:rsidRPr="009922C0">
              <w:rPr>
                <w:rFonts w:ascii="Arial" w:hAnsi="Arial" w:cs="Arial"/>
                <w:b/>
              </w:rPr>
              <w:t xml:space="preserve">Revision Description:  </w:t>
            </w:r>
            <w:r w:rsidRPr="009922C0">
              <w:rPr>
                <w:rFonts w:ascii="Arial" w:hAnsi="Arial" w:cs="Arial"/>
              </w:rPr>
              <w:t>This NPRR eliminates the Protocol requirement to hold at least one Protocol Revision Subcommittee (PRS) meeting per month.</w:t>
            </w:r>
          </w:p>
          <w:p w14:paraId="16DA81D3" w14:textId="66345C52" w:rsidR="009922C0" w:rsidRDefault="00242C88" w:rsidP="003F72F2">
            <w:pPr>
              <w:ind w:left="360"/>
              <w:jc w:val="both"/>
              <w:rPr>
                <w:rFonts w:ascii="Arial" w:hAnsi="Arial" w:cs="Arial"/>
              </w:rPr>
            </w:pPr>
            <w:r>
              <w:rPr>
                <w:rFonts w:ascii="Arial" w:hAnsi="Arial" w:cs="Arial"/>
                <w:b/>
              </w:rPr>
              <w:t>TAC</w:t>
            </w:r>
            <w:r w:rsidR="009922C0" w:rsidRPr="009922C0">
              <w:rPr>
                <w:rFonts w:ascii="Arial" w:hAnsi="Arial" w:cs="Arial"/>
                <w:b/>
              </w:rPr>
              <w:t xml:space="preserve"> Decision:</w:t>
            </w:r>
            <w:r w:rsidR="009922C0" w:rsidRPr="009922C0">
              <w:rPr>
                <w:rFonts w:ascii="Arial" w:hAnsi="Arial" w:cs="Arial"/>
              </w:rPr>
              <w:t xml:space="preserve">  </w:t>
            </w:r>
            <w:r w:rsidRPr="00242C88">
              <w:rPr>
                <w:rFonts w:ascii="Arial" w:hAnsi="Arial" w:cs="Arial"/>
              </w:rPr>
              <w:t xml:space="preserve">On 1/24/23, TAC voted unanimously to recommend approval of NPRR1151 as recommended by PRS in the 12/8/22 PRS Report.  </w:t>
            </w:r>
          </w:p>
          <w:p w14:paraId="01C6A4E9" w14:textId="111DB86B" w:rsidR="00242C88" w:rsidRPr="009922C0" w:rsidRDefault="00242C88" w:rsidP="003F72F2">
            <w:pPr>
              <w:ind w:left="360"/>
              <w:jc w:val="both"/>
              <w:rPr>
                <w:rFonts w:ascii="Arial" w:hAnsi="Arial" w:cs="Arial"/>
              </w:rPr>
            </w:pPr>
            <w:r>
              <w:rPr>
                <w:rFonts w:ascii="Arial" w:hAnsi="Arial" w:cs="Arial"/>
                <w:b/>
              </w:rPr>
              <w:t>ERCOT Market Impact Statement:</w:t>
            </w:r>
            <w:r>
              <w:rPr>
                <w:rFonts w:ascii="Arial" w:hAnsi="Arial" w:cs="Arial"/>
              </w:rPr>
              <w:t xml:space="preserve">  </w:t>
            </w:r>
            <w:r w:rsidRPr="00242C88">
              <w:rPr>
                <w:rFonts w:ascii="Arial" w:hAnsi="Arial" w:cs="Arial"/>
              </w:rPr>
              <w:t>ERCOT Staff has reviewed NPRR1151 and believes the market impact for NPRR1151 improves efficiency by providing the same meeting flexibility to PRS as other subcommittees and TAC.</w:t>
            </w:r>
            <w:r>
              <w:rPr>
                <w:rFonts w:ascii="Arial" w:hAnsi="Arial" w:cs="Arial"/>
              </w:rPr>
              <w:t xml:space="preserve"> </w:t>
            </w:r>
          </w:p>
          <w:p w14:paraId="57B32C6E" w14:textId="77777777" w:rsidR="009922C0" w:rsidRDefault="009922C0" w:rsidP="003F72F2">
            <w:pPr>
              <w:jc w:val="both"/>
              <w:rPr>
                <w:b/>
                <w:i/>
              </w:rPr>
            </w:pPr>
          </w:p>
          <w:p w14:paraId="0FBC5B52" w14:textId="10F21902" w:rsidR="009922C0" w:rsidRDefault="009922C0" w:rsidP="003F72F2">
            <w:pPr>
              <w:numPr>
                <w:ilvl w:val="0"/>
                <w:numId w:val="15"/>
              </w:numPr>
              <w:jc w:val="both"/>
              <w:rPr>
                <w:rFonts w:ascii="Arial" w:hAnsi="Arial" w:cs="Arial"/>
                <w:b/>
                <w:i/>
              </w:rPr>
            </w:pPr>
            <w:r w:rsidRPr="009922C0">
              <w:rPr>
                <w:rFonts w:ascii="Arial" w:hAnsi="Arial" w:cs="Arial"/>
                <w:b/>
                <w:i/>
              </w:rPr>
              <w:t>NPRR1153, ERCOT Fee Schedule Changes</w:t>
            </w:r>
          </w:p>
          <w:p w14:paraId="3711D5DD" w14:textId="251BD025" w:rsidR="009922C0" w:rsidRPr="009922C0" w:rsidRDefault="009922C0" w:rsidP="003F72F2">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480806B8" w14:textId="457A3CBE" w:rsidR="009922C0" w:rsidRPr="009922C0" w:rsidRDefault="009922C0" w:rsidP="003F72F2">
            <w:pPr>
              <w:pStyle w:val="BodyText"/>
              <w:spacing w:before="0" w:after="0"/>
              <w:ind w:left="360"/>
              <w:jc w:val="both"/>
              <w:rPr>
                <w:rFonts w:ascii="Arial" w:hAnsi="Arial" w:cs="Arial"/>
              </w:rPr>
            </w:pPr>
            <w:r w:rsidRPr="009922C0">
              <w:rPr>
                <w:rFonts w:ascii="Arial" w:hAnsi="Arial" w:cs="Arial"/>
                <w:b/>
              </w:rPr>
              <w:t>Proposed Effective Date:</w:t>
            </w:r>
            <w:r w:rsidRPr="009922C0">
              <w:rPr>
                <w:rFonts w:ascii="Arial" w:hAnsi="Arial" w:cs="Arial"/>
                <w:bCs/>
              </w:rPr>
              <w:t xml:space="preserve">  April 1, 2023 (Phase 1) and upon system implementation – Priority 2023; Rank 3790 (Phase 2)</w:t>
            </w:r>
          </w:p>
          <w:p w14:paraId="76F6A7F1" w14:textId="77777777" w:rsidR="009922C0" w:rsidRPr="009922C0" w:rsidRDefault="009922C0"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9922C0">
              <w:rPr>
                <w:rFonts w:ascii="Arial" w:hAnsi="Arial" w:cs="Arial"/>
              </w:rPr>
              <w:t>Between $20K and $30K; no impacts to ERCOT staffing; impacts to Resource Integration and Ongoing Operations (RIOO), Channel Management Systems, and ERCOT Website and MIS Systems; ERCOT business processes will be updated; no impacts to ERCOT grid operations and practices.</w:t>
            </w:r>
          </w:p>
          <w:p w14:paraId="6F95C65A" w14:textId="0648C2F8" w:rsidR="009922C0" w:rsidRPr="009922C0" w:rsidRDefault="009922C0" w:rsidP="003F72F2">
            <w:pPr>
              <w:ind w:left="360"/>
              <w:jc w:val="both"/>
              <w:rPr>
                <w:rFonts w:ascii="Arial" w:hAnsi="Arial" w:cs="Arial"/>
              </w:rPr>
            </w:pPr>
            <w:r w:rsidRPr="009922C0">
              <w:rPr>
                <w:rFonts w:ascii="Arial" w:hAnsi="Arial" w:cs="Arial"/>
                <w:b/>
              </w:rPr>
              <w:t xml:space="preserve">Revision Description:  </w:t>
            </w:r>
            <w:r w:rsidRPr="009922C0">
              <w:rPr>
                <w:rFonts w:ascii="Arial" w:hAnsi="Arial" w:cs="Arial"/>
              </w:rPr>
              <w:t>This NPRR c</w:t>
            </w:r>
            <w:r w:rsidRPr="009922C0">
              <w:rPr>
                <w:rFonts w:ascii="Arial" w:hAnsi="Arial" w:cs="Arial"/>
                <w:iCs/>
                <w:kern w:val="24"/>
              </w:rPr>
              <w:t>hanges the ERCOT Fee Schedule by adding two currently existing fees to the ERCOT Fee Schedule (public information request labor fees and ERCOT training fees); creating a registration fee of $500 for Resource Entities, TDSPs, and Subordinate Qualified Scheduling Entities (Sub-</w:t>
            </w:r>
            <w:r w:rsidRPr="009922C0">
              <w:rPr>
                <w:rFonts w:ascii="Arial" w:hAnsi="Arial" w:cs="Arial"/>
                <w:iCs/>
                <w:kern w:val="24"/>
              </w:rPr>
              <w:lastRenderedPageBreak/>
              <w:t>QSEs); removing the current value of the ERCOT System Administration Fee; deleting the map sales fee; and restructuring three existing fees on the Fee Schedule (Generator Interconnection or Modification (GIM) fees, Full Interconnection Study (FIS) Application fees, and Wide Area Network (WAN) fees).</w:t>
            </w:r>
          </w:p>
          <w:p w14:paraId="57E2AF87" w14:textId="54885759" w:rsidR="00612A93" w:rsidRDefault="009922C0" w:rsidP="003F72F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242C88" w:rsidRPr="00242C88">
              <w:rPr>
                <w:rFonts w:ascii="Arial" w:hAnsi="Arial" w:cs="Arial"/>
              </w:rPr>
              <w:t xml:space="preserve">On 1/24/23, TAC voted unanimously to recommend approval of NPRR1153 as recommended by PRS in the 1/17/23 PRS Report.  </w:t>
            </w:r>
          </w:p>
          <w:p w14:paraId="7B9D89E1" w14:textId="12F6BBDE" w:rsidR="009922C0" w:rsidRDefault="009922C0" w:rsidP="003F72F2">
            <w:pPr>
              <w:ind w:left="360"/>
              <w:jc w:val="both"/>
              <w:rPr>
                <w:rFonts w:ascii="Arial" w:hAnsi="Arial" w:cs="Arial"/>
                <w:bCs/>
              </w:rPr>
            </w:pPr>
            <w:r>
              <w:rPr>
                <w:rFonts w:ascii="Arial" w:hAnsi="Arial" w:cs="Arial"/>
                <w:b/>
              </w:rPr>
              <w:t xml:space="preserve">ERCOT Market Impact Statement:  </w:t>
            </w:r>
            <w:r w:rsidR="00242C88" w:rsidRPr="00242C88">
              <w:rPr>
                <w:rFonts w:ascii="Arial" w:hAnsi="Arial" w:cs="Arial"/>
                <w:bCs/>
              </w:rPr>
              <w:t xml:space="preserve">ERCOT Staff has reviewed NPRR1153 and believes the market impact for NPRR1153 clarifies the ERCOT Fee Schedule by adding/restructuring the list of ERCOT-assessed fees, and removing fees from the ERCOT Fee Schedule which are governed by </w:t>
            </w:r>
            <w:r w:rsidR="00DB341F">
              <w:rPr>
                <w:rFonts w:ascii="Arial" w:hAnsi="Arial" w:cs="Arial"/>
                <w:bCs/>
              </w:rPr>
              <w:t>Public Utility Commission of Texas (</w:t>
            </w:r>
            <w:r w:rsidR="00242C88" w:rsidRPr="00242C88">
              <w:rPr>
                <w:rFonts w:ascii="Arial" w:hAnsi="Arial" w:cs="Arial"/>
                <w:bCs/>
              </w:rPr>
              <w:t>PUCT</w:t>
            </w:r>
            <w:r w:rsidR="00DB341F">
              <w:rPr>
                <w:rFonts w:ascii="Arial" w:hAnsi="Arial" w:cs="Arial"/>
                <w:bCs/>
              </w:rPr>
              <w:t>)</w:t>
            </w:r>
            <w:r w:rsidR="00242C88" w:rsidRPr="00242C88">
              <w:rPr>
                <w:rFonts w:ascii="Arial" w:hAnsi="Arial" w:cs="Arial"/>
                <w:bCs/>
              </w:rPr>
              <w:t xml:space="preserve"> Substantive Rule</w:t>
            </w:r>
            <w:r w:rsidR="00242C88">
              <w:rPr>
                <w:rFonts w:ascii="Arial" w:hAnsi="Arial" w:cs="Arial"/>
                <w:bCs/>
              </w:rPr>
              <w:t>s</w:t>
            </w:r>
            <w:r w:rsidR="00242C88" w:rsidRPr="00242C88">
              <w:rPr>
                <w:rFonts w:ascii="Arial" w:hAnsi="Arial" w:cs="Arial"/>
                <w:bCs/>
              </w:rPr>
              <w:t>.</w:t>
            </w:r>
          </w:p>
          <w:p w14:paraId="32A1EB8B" w14:textId="4BDBDD6C" w:rsidR="004B0B15" w:rsidRDefault="004B0B15" w:rsidP="003F72F2">
            <w:pPr>
              <w:ind w:left="360"/>
              <w:jc w:val="both"/>
              <w:rPr>
                <w:rFonts w:ascii="Arial" w:hAnsi="Arial" w:cs="Arial"/>
                <w:bCs/>
              </w:rPr>
            </w:pPr>
          </w:p>
          <w:p w14:paraId="08961642" w14:textId="68FC6E6F" w:rsidR="008123C7" w:rsidRDefault="008123C7" w:rsidP="003F72F2">
            <w:pPr>
              <w:numPr>
                <w:ilvl w:val="0"/>
                <w:numId w:val="15"/>
              </w:numPr>
              <w:jc w:val="both"/>
              <w:rPr>
                <w:rFonts w:ascii="Arial" w:hAnsi="Arial" w:cs="Arial"/>
                <w:b/>
                <w:i/>
              </w:rPr>
            </w:pPr>
            <w:r w:rsidRPr="009922C0">
              <w:rPr>
                <w:rFonts w:ascii="Arial" w:hAnsi="Arial" w:cs="Arial"/>
                <w:b/>
                <w:i/>
              </w:rPr>
              <w:t>NPRR115</w:t>
            </w:r>
            <w:r>
              <w:rPr>
                <w:rFonts w:ascii="Arial" w:hAnsi="Arial" w:cs="Arial"/>
                <w:b/>
                <w:i/>
              </w:rPr>
              <w:t>8</w:t>
            </w:r>
            <w:r w:rsidRPr="009922C0">
              <w:rPr>
                <w:rFonts w:ascii="Arial" w:hAnsi="Arial" w:cs="Arial"/>
                <w:b/>
                <w:i/>
              </w:rPr>
              <w:t xml:space="preserve">, </w:t>
            </w:r>
            <w:r w:rsidRPr="008123C7">
              <w:rPr>
                <w:rFonts w:ascii="Arial" w:hAnsi="Arial" w:cs="Arial"/>
                <w:b/>
                <w:i/>
              </w:rPr>
              <w:t>Remove Sunset Date for Weatherization Inspection Fees</w:t>
            </w:r>
          </w:p>
          <w:p w14:paraId="00E0A438" w14:textId="77777777" w:rsidR="008123C7" w:rsidRPr="009922C0" w:rsidRDefault="008123C7" w:rsidP="003F72F2">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45089B56" w14:textId="37259053" w:rsidR="008123C7" w:rsidRPr="009922C0" w:rsidRDefault="008123C7" w:rsidP="003F72F2">
            <w:pPr>
              <w:pStyle w:val="BodyText"/>
              <w:spacing w:before="0" w:after="0"/>
              <w:ind w:left="360"/>
              <w:jc w:val="both"/>
              <w:rPr>
                <w:rFonts w:ascii="Arial" w:hAnsi="Arial" w:cs="Arial"/>
              </w:rPr>
            </w:pPr>
            <w:r w:rsidRPr="009922C0">
              <w:rPr>
                <w:rFonts w:ascii="Arial" w:hAnsi="Arial" w:cs="Arial"/>
                <w:b/>
              </w:rPr>
              <w:t>Proposed Effective Date:</w:t>
            </w:r>
            <w:r w:rsidRPr="009922C0">
              <w:rPr>
                <w:rFonts w:ascii="Arial" w:hAnsi="Arial" w:cs="Arial"/>
                <w:bCs/>
              </w:rPr>
              <w:t xml:space="preserve">  April 1, 2023 </w:t>
            </w:r>
          </w:p>
          <w:p w14:paraId="763C0569" w14:textId="3C888E03" w:rsidR="008123C7" w:rsidRPr="009922C0" w:rsidRDefault="008123C7"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no impacts to ERCOT business processes; no impacts to ERCOT grid operations and practices.</w:t>
            </w:r>
          </w:p>
          <w:p w14:paraId="77A88A46" w14:textId="6764722A" w:rsidR="008123C7" w:rsidRPr="009922C0" w:rsidRDefault="008123C7" w:rsidP="003F72F2">
            <w:pPr>
              <w:ind w:left="360"/>
              <w:jc w:val="both"/>
              <w:rPr>
                <w:rFonts w:ascii="Arial" w:hAnsi="Arial" w:cs="Arial"/>
              </w:rPr>
            </w:pPr>
            <w:r w:rsidRPr="009922C0">
              <w:rPr>
                <w:rFonts w:ascii="Arial" w:hAnsi="Arial" w:cs="Arial"/>
                <w:b/>
              </w:rPr>
              <w:t xml:space="preserve">Revision Description:  </w:t>
            </w:r>
            <w:r w:rsidRPr="008123C7">
              <w:rPr>
                <w:rFonts w:ascii="Arial" w:hAnsi="Arial" w:cs="Arial"/>
              </w:rPr>
              <w:t>This NPRR eliminates the Weatherization Inspection fee’s sunset date on the ERCOT Fee Schedule and changes the invoicing period of such fees from a quarterly to a semiannual basis.</w:t>
            </w:r>
          </w:p>
          <w:p w14:paraId="17CD8675" w14:textId="7F354F14" w:rsidR="008123C7" w:rsidRDefault="008123C7" w:rsidP="003F72F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8123C7">
              <w:rPr>
                <w:rFonts w:ascii="Arial" w:hAnsi="Arial" w:cs="Arial"/>
              </w:rPr>
              <w:t>On 2/20/23</w:t>
            </w:r>
            <w:r>
              <w:rPr>
                <w:rFonts w:ascii="Arial" w:hAnsi="Arial" w:cs="Arial"/>
              </w:rPr>
              <w:t>,</w:t>
            </w:r>
            <w:r w:rsidRPr="008123C7">
              <w:rPr>
                <w:rFonts w:ascii="Arial" w:hAnsi="Arial" w:cs="Arial"/>
              </w:rPr>
              <w:t xml:space="preserve"> TAC voted unanimously to recommend approval of NPRR1158 as recommended by PRS in the 2/9/23 PRS Report.  </w:t>
            </w:r>
          </w:p>
          <w:p w14:paraId="42AC070D" w14:textId="03003F57" w:rsidR="008123C7" w:rsidRDefault="008123C7" w:rsidP="003F72F2">
            <w:pPr>
              <w:ind w:left="360"/>
              <w:jc w:val="both"/>
              <w:rPr>
                <w:rFonts w:ascii="Arial" w:hAnsi="Arial" w:cs="Arial"/>
                <w:bCs/>
              </w:rPr>
            </w:pPr>
            <w:r>
              <w:rPr>
                <w:rFonts w:ascii="Arial" w:hAnsi="Arial" w:cs="Arial"/>
                <w:b/>
              </w:rPr>
              <w:t xml:space="preserve">ERCOT Market Impact Statement:  </w:t>
            </w:r>
            <w:r w:rsidRPr="008123C7">
              <w:rPr>
                <w:rFonts w:ascii="Arial" w:hAnsi="Arial" w:cs="Arial"/>
                <w:bCs/>
              </w:rPr>
              <w:t>ERCOT Staff has reviewed NPRR1158 and believes it has a positive market impact by improving regulatory requirements through the elimination of the Weatherization Inspection fee’s sunset date on the ERCOT Fee Schedule and adjusting the invoicing period of related fees from a quarterly to a semiannual basis.</w:t>
            </w:r>
          </w:p>
          <w:p w14:paraId="3B8AA507" w14:textId="50E9CEC4" w:rsidR="008123C7" w:rsidRDefault="008123C7" w:rsidP="003F72F2">
            <w:pPr>
              <w:ind w:left="360"/>
              <w:jc w:val="both"/>
              <w:rPr>
                <w:rFonts w:ascii="Arial" w:hAnsi="Arial" w:cs="Arial"/>
                <w:bCs/>
              </w:rPr>
            </w:pPr>
          </w:p>
          <w:p w14:paraId="1760E9B1" w14:textId="0743B348" w:rsidR="008123C7" w:rsidRDefault="008123C7" w:rsidP="003F72F2">
            <w:pPr>
              <w:numPr>
                <w:ilvl w:val="0"/>
                <w:numId w:val="15"/>
              </w:numPr>
              <w:jc w:val="both"/>
              <w:rPr>
                <w:rFonts w:ascii="Arial" w:hAnsi="Arial" w:cs="Arial"/>
                <w:b/>
                <w:i/>
              </w:rPr>
            </w:pPr>
            <w:r w:rsidRPr="009922C0">
              <w:rPr>
                <w:rFonts w:ascii="Arial" w:hAnsi="Arial" w:cs="Arial"/>
                <w:b/>
                <w:i/>
              </w:rPr>
              <w:t>NPRR115</w:t>
            </w:r>
            <w:r>
              <w:rPr>
                <w:rFonts w:ascii="Arial" w:hAnsi="Arial" w:cs="Arial"/>
                <w:b/>
                <w:i/>
              </w:rPr>
              <w:t>9</w:t>
            </w:r>
            <w:r w:rsidRPr="009922C0">
              <w:rPr>
                <w:rFonts w:ascii="Arial" w:hAnsi="Arial" w:cs="Arial"/>
                <w:b/>
                <w:i/>
              </w:rPr>
              <w:t xml:space="preserve">, </w:t>
            </w:r>
            <w:r w:rsidRPr="008123C7">
              <w:rPr>
                <w:rFonts w:ascii="Arial" w:hAnsi="Arial" w:cs="Arial"/>
                <w:b/>
                <w:i/>
              </w:rPr>
              <w:t>Related to RMGRR171, Changes to Transition Process That Require Opt-in MOU and EC That Are Designating POLR to Provide Mass Transition Methodology to ERCOT</w:t>
            </w:r>
          </w:p>
          <w:p w14:paraId="7BF1F5A0" w14:textId="77777777" w:rsidR="008123C7" w:rsidRPr="009922C0" w:rsidRDefault="008123C7" w:rsidP="003F72F2">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0C690286" w14:textId="07EDF7B1" w:rsidR="008123C7" w:rsidRPr="009922C0" w:rsidRDefault="008123C7" w:rsidP="003F72F2">
            <w:pPr>
              <w:pStyle w:val="BodyText"/>
              <w:spacing w:before="0" w:after="0"/>
              <w:ind w:left="360"/>
              <w:jc w:val="both"/>
              <w:rPr>
                <w:rFonts w:ascii="Arial" w:hAnsi="Arial" w:cs="Arial"/>
              </w:rPr>
            </w:pPr>
            <w:r w:rsidRPr="009922C0">
              <w:rPr>
                <w:rFonts w:ascii="Arial" w:hAnsi="Arial" w:cs="Arial"/>
                <w:b/>
              </w:rPr>
              <w:t>Proposed Effective Date:</w:t>
            </w:r>
            <w:r w:rsidRPr="009922C0">
              <w:rPr>
                <w:rFonts w:ascii="Arial" w:hAnsi="Arial" w:cs="Arial"/>
                <w:bCs/>
              </w:rPr>
              <w:t xml:space="preserve">  </w:t>
            </w:r>
            <w:r w:rsidRPr="008123C7">
              <w:rPr>
                <w:rFonts w:ascii="Arial" w:hAnsi="Arial" w:cs="Arial"/>
                <w:bCs/>
              </w:rPr>
              <w:t>Upon implementation of RMGRR171</w:t>
            </w:r>
          </w:p>
          <w:p w14:paraId="33928AD9" w14:textId="375FD350" w:rsidR="008123C7" w:rsidRPr="009922C0" w:rsidRDefault="008123C7"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8123C7">
              <w:rPr>
                <w:rFonts w:ascii="Arial" w:hAnsi="Arial" w:cs="Arial"/>
              </w:rPr>
              <w:t>(There are no additional impacts to this NPRR beyond what was captured in the Impact Analysis for RMGRR171.)</w:t>
            </w:r>
          </w:p>
          <w:p w14:paraId="17E57B34" w14:textId="58A8B6D1" w:rsidR="008123C7" w:rsidRPr="009922C0" w:rsidRDefault="008123C7" w:rsidP="003F72F2">
            <w:pPr>
              <w:ind w:left="360"/>
              <w:jc w:val="both"/>
              <w:rPr>
                <w:rFonts w:ascii="Arial" w:hAnsi="Arial" w:cs="Arial"/>
              </w:rPr>
            </w:pPr>
            <w:r w:rsidRPr="009922C0">
              <w:rPr>
                <w:rFonts w:ascii="Arial" w:hAnsi="Arial" w:cs="Arial"/>
                <w:b/>
              </w:rPr>
              <w:t xml:space="preserve">Revision Description:  </w:t>
            </w:r>
            <w:r w:rsidRPr="008123C7">
              <w:rPr>
                <w:rFonts w:ascii="Arial" w:hAnsi="Arial" w:cs="Arial"/>
              </w:rPr>
              <w:t>This NPRR provides needed references to the Retail Market Guide to account for Texas Standard Electronic Transaction (</w:t>
            </w:r>
            <w:r w:rsidR="002F3545">
              <w:rPr>
                <w:rFonts w:ascii="Arial" w:hAnsi="Arial" w:cs="Arial"/>
              </w:rPr>
              <w:t xml:space="preserve">TX </w:t>
            </w:r>
            <w:r w:rsidRPr="008123C7">
              <w:rPr>
                <w:rFonts w:ascii="Arial" w:hAnsi="Arial" w:cs="Arial"/>
              </w:rPr>
              <w:t>SET) processing options for Municipally Owned Utility (MOU) or Electric Cooperative (EC) service areas, in alignment with RMGRR171.</w:t>
            </w:r>
          </w:p>
          <w:p w14:paraId="59B44199" w14:textId="6942567C" w:rsidR="008123C7" w:rsidRDefault="008123C7" w:rsidP="003F72F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8123C7">
              <w:rPr>
                <w:rFonts w:ascii="Arial" w:hAnsi="Arial" w:cs="Arial"/>
              </w:rPr>
              <w:t>On 2/20/23</w:t>
            </w:r>
            <w:r>
              <w:rPr>
                <w:rFonts w:ascii="Arial" w:hAnsi="Arial" w:cs="Arial"/>
              </w:rPr>
              <w:t>,</w:t>
            </w:r>
            <w:r w:rsidRPr="008123C7">
              <w:rPr>
                <w:rFonts w:ascii="Arial" w:hAnsi="Arial" w:cs="Arial"/>
              </w:rPr>
              <w:t xml:space="preserve"> TAC voted unanimously to recommend approval of NPRR115</w:t>
            </w:r>
            <w:r>
              <w:rPr>
                <w:rFonts w:ascii="Arial" w:hAnsi="Arial" w:cs="Arial"/>
              </w:rPr>
              <w:t>9</w:t>
            </w:r>
            <w:r w:rsidRPr="008123C7">
              <w:rPr>
                <w:rFonts w:ascii="Arial" w:hAnsi="Arial" w:cs="Arial"/>
              </w:rPr>
              <w:t xml:space="preserve"> as recommended by PRS in the 2/9/23 PRS Report.  </w:t>
            </w:r>
          </w:p>
          <w:p w14:paraId="34AE2226" w14:textId="0140E9C7" w:rsidR="008123C7" w:rsidRDefault="008123C7" w:rsidP="003F72F2">
            <w:pPr>
              <w:ind w:left="360"/>
              <w:jc w:val="both"/>
              <w:rPr>
                <w:rFonts w:ascii="Arial" w:hAnsi="Arial" w:cs="Arial"/>
                <w:bCs/>
              </w:rPr>
            </w:pPr>
            <w:r>
              <w:rPr>
                <w:rFonts w:ascii="Arial" w:hAnsi="Arial" w:cs="Arial"/>
                <w:b/>
              </w:rPr>
              <w:lastRenderedPageBreak/>
              <w:t xml:space="preserve">ERCOT Market Impact Statement:  </w:t>
            </w:r>
            <w:r w:rsidR="00DA1362" w:rsidRPr="00DA1362">
              <w:rPr>
                <w:rFonts w:ascii="Arial" w:hAnsi="Arial" w:cs="Arial"/>
                <w:bCs/>
              </w:rPr>
              <w:t>ERCOT Staff has reviewed NPRR1159 and believes it has a positive market impact by addressing current operational issues through the application of references to the Retail Market Guide into the Protocols in order to account for T</w:t>
            </w:r>
            <w:r w:rsidR="002F3545">
              <w:rPr>
                <w:rFonts w:ascii="Arial" w:hAnsi="Arial" w:cs="Arial"/>
                <w:bCs/>
              </w:rPr>
              <w:t>X</w:t>
            </w:r>
            <w:r w:rsidR="00DA1362" w:rsidRPr="00DA1362">
              <w:rPr>
                <w:rFonts w:ascii="Arial" w:hAnsi="Arial" w:cs="Arial"/>
                <w:bCs/>
              </w:rPr>
              <w:t xml:space="preserve"> SET processing options for MOU and EC services area, in alignment with RMGRR171.</w:t>
            </w:r>
          </w:p>
          <w:p w14:paraId="4CCA5119" w14:textId="77777777" w:rsidR="008123C7" w:rsidRDefault="008123C7" w:rsidP="003F72F2">
            <w:pPr>
              <w:ind w:left="360"/>
              <w:jc w:val="both"/>
              <w:rPr>
                <w:rFonts w:ascii="Arial" w:hAnsi="Arial" w:cs="Arial"/>
                <w:bCs/>
              </w:rPr>
            </w:pPr>
          </w:p>
          <w:p w14:paraId="0AFD5994" w14:textId="596BED19" w:rsidR="004B0B15" w:rsidRDefault="004B0B15" w:rsidP="003F72F2">
            <w:pPr>
              <w:numPr>
                <w:ilvl w:val="0"/>
                <w:numId w:val="15"/>
              </w:numPr>
              <w:jc w:val="both"/>
              <w:rPr>
                <w:rFonts w:ascii="Arial" w:hAnsi="Arial" w:cs="Arial"/>
                <w:b/>
                <w:i/>
              </w:rPr>
            </w:pPr>
            <w:r>
              <w:rPr>
                <w:rFonts w:ascii="Arial" w:hAnsi="Arial" w:cs="Arial"/>
                <w:b/>
                <w:i/>
              </w:rPr>
              <w:t>PGRR102</w:t>
            </w:r>
            <w:r w:rsidRPr="009922C0">
              <w:rPr>
                <w:rFonts w:ascii="Arial" w:hAnsi="Arial" w:cs="Arial"/>
                <w:b/>
                <w:i/>
              </w:rPr>
              <w:t xml:space="preserve">, </w:t>
            </w:r>
            <w:r w:rsidRPr="004B0B15">
              <w:rPr>
                <w:rFonts w:ascii="Arial" w:hAnsi="Arial" w:cs="Arial"/>
                <w:b/>
                <w:i/>
              </w:rPr>
              <w:t>Dynamic Operation Model Improvement</w:t>
            </w:r>
          </w:p>
          <w:p w14:paraId="34623651" w14:textId="77777777" w:rsidR="004B0B15" w:rsidRPr="009922C0" w:rsidRDefault="004B0B15" w:rsidP="003F72F2">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36CA9A11" w14:textId="4739F4F6" w:rsidR="004B0B15" w:rsidRPr="009922C0" w:rsidRDefault="004B0B15" w:rsidP="003F72F2">
            <w:pPr>
              <w:pStyle w:val="BodyText"/>
              <w:spacing w:before="0" w:after="0"/>
              <w:ind w:left="360"/>
              <w:jc w:val="both"/>
              <w:rPr>
                <w:rFonts w:ascii="Arial" w:hAnsi="Arial" w:cs="Arial"/>
              </w:rPr>
            </w:pPr>
            <w:r w:rsidRPr="009922C0">
              <w:rPr>
                <w:rFonts w:ascii="Arial" w:hAnsi="Arial" w:cs="Arial"/>
                <w:b/>
              </w:rPr>
              <w:t>Proposed Effective Date:</w:t>
            </w:r>
            <w:r w:rsidRPr="009922C0">
              <w:rPr>
                <w:rFonts w:ascii="Arial" w:hAnsi="Arial" w:cs="Arial"/>
                <w:bCs/>
              </w:rPr>
              <w:t xml:space="preserve">  April 1, 2023</w:t>
            </w:r>
          </w:p>
          <w:p w14:paraId="15855372" w14:textId="2413E3DB" w:rsidR="004B0B15" w:rsidRPr="009922C0" w:rsidRDefault="004B0B15"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9922C0">
              <w:rPr>
                <w:rFonts w:ascii="Arial" w:hAnsi="Arial" w:cs="Arial"/>
              </w:rPr>
              <w:t>No budgetary impact; no impacts to ERCOT staffing; no impacts to ERCOT computer systems; no impacts to ERCOT business processes; no impacts to ERCOT grid operations and practices.</w:t>
            </w:r>
          </w:p>
          <w:p w14:paraId="36DF0B04" w14:textId="5D7F3241" w:rsidR="004B0B15" w:rsidRPr="009922C0" w:rsidRDefault="004B0B15" w:rsidP="003F72F2">
            <w:pPr>
              <w:ind w:left="360"/>
              <w:jc w:val="both"/>
              <w:rPr>
                <w:rFonts w:ascii="Arial" w:hAnsi="Arial" w:cs="Arial"/>
              </w:rPr>
            </w:pPr>
            <w:r w:rsidRPr="009922C0">
              <w:rPr>
                <w:rFonts w:ascii="Arial" w:hAnsi="Arial" w:cs="Arial"/>
                <w:b/>
              </w:rPr>
              <w:t xml:space="preserve">Revision Description:  </w:t>
            </w:r>
            <w:r w:rsidRPr="004B0B15">
              <w:rPr>
                <w:rFonts w:ascii="Arial" w:hAnsi="Arial" w:cs="Arial"/>
              </w:rPr>
              <w:t>This PGRR adds a requirement for Resource Entities and Interconnecting Entities (IEs) to provide operations dynamic model quality test results that demonstrate appropriate performance for submitted operations dynamic models, and makes non-substantive clarifying changes.</w:t>
            </w:r>
          </w:p>
          <w:p w14:paraId="25B660B0" w14:textId="1FC63368" w:rsidR="004B0B15" w:rsidRDefault="004B0B15" w:rsidP="003F72F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4B0B15">
              <w:rPr>
                <w:rFonts w:ascii="Arial" w:hAnsi="Arial" w:cs="Arial"/>
              </w:rPr>
              <w:t xml:space="preserve">On 1/24/23, TAC voted unanimously to recommend approval of PGRR102 as recommended by ROS in the 12/1/22 ROS Report.  </w:t>
            </w:r>
          </w:p>
          <w:p w14:paraId="2EF1EF57" w14:textId="69D2D9CE" w:rsidR="0014324E" w:rsidRDefault="004B0B15" w:rsidP="003F72F2">
            <w:pPr>
              <w:ind w:left="360"/>
              <w:jc w:val="both"/>
              <w:rPr>
                <w:rFonts w:ascii="Arial" w:hAnsi="Arial" w:cs="Arial"/>
                <w:bCs/>
              </w:rPr>
            </w:pPr>
            <w:r>
              <w:rPr>
                <w:rFonts w:ascii="Arial" w:hAnsi="Arial" w:cs="Arial"/>
                <w:b/>
              </w:rPr>
              <w:t xml:space="preserve">ERCOT Market Impact Statement:  </w:t>
            </w:r>
            <w:r w:rsidRPr="004B0B15">
              <w:rPr>
                <w:rFonts w:ascii="Arial" w:hAnsi="Arial" w:cs="Arial"/>
                <w:bCs/>
              </w:rPr>
              <w:t>ERCOT Staff has reviewed PGRR102 and believes the market impact for PGRR102 improves the dynamic modeling processes that will result in high quality and accurate models in operations dynamic assessment, and consistency of simulations across planning and operations software platforms.</w:t>
            </w:r>
          </w:p>
          <w:p w14:paraId="58FAAB6C" w14:textId="238F242E" w:rsidR="00DA1362" w:rsidRDefault="00DA1362" w:rsidP="003F72F2">
            <w:pPr>
              <w:ind w:left="360"/>
              <w:jc w:val="both"/>
              <w:rPr>
                <w:rFonts w:ascii="Arial" w:hAnsi="Arial" w:cs="Arial"/>
                <w:bCs/>
              </w:rPr>
            </w:pPr>
          </w:p>
          <w:p w14:paraId="50B0887A" w14:textId="443BA53B" w:rsidR="00DA1362" w:rsidRDefault="00DA1362" w:rsidP="003F72F2">
            <w:pPr>
              <w:numPr>
                <w:ilvl w:val="0"/>
                <w:numId w:val="15"/>
              </w:numPr>
              <w:jc w:val="both"/>
              <w:rPr>
                <w:rFonts w:ascii="Arial" w:hAnsi="Arial" w:cs="Arial"/>
                <w:b/>
                <w:i/>
              </w:rPr>
            </w:pPr>
            <w:r w:rsidRPr="008123C7">
              <w:rPr>
                <w:rFonts w:ascii="Arial" w:hAnsi="Arial" w:cs="Arial"/>
                <w:b/>
                <w:i/>
              </w:rPr>
              <w:t>RMGRR171, Changes to Transition Process That Require Opt-in MOU and EC That Are Designating POLR to Provide Mass Transition Methodology to ERCOT</w:t>
            </w:r>
          </w:p>
          <w:p w14:paraId="1F70916E" w14:textId="77777777" w:rsidR="00DA1362" w:rsidRPr="009922C0" w:rsidRDefault="00DA1362" w:rsidP="003F72F2">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3C87EC06" w14:textId="7EEC1EBE" w:rsidR="00DA1362" w:rsidRPr="009922C0" w:rsidRDefault="00DA1362" w:rsidP="003F72F2">
            <w:pPr>
              <w:pStyle w:val="BodyText"/>
              <w:spacing w:before="0" w:after="0"/>
              <w:ind w:left="360"/>
              <w:jc w:val="both"/>
              <w:rPr>
                <w:rFonts w:ascii="Arial" w:hAnsi="Arial" w:cs="Arial"/>
              </w:rPr>
            </w:pPr>
            <w:r w:rsidRPr="009922C0">
              <w:rPr>
                <w:rFonts w:ascii="Arial" w:hAnsi="Arial" w:cs="Arial"/>
                <w:b/>
              </w:rPr>
              <w:t>Proposed Effective Date:</w:t>
            </w:r>
            <w:r w:rsidRPr="009922C0">
              <w:rPr>
                <w:rFonts w:ascii="Arial" w:hAnsi="Arial" w:cs="Arial"/>
                <w:bCs/>
              </w:rPr>
              <w:t xml:space="preserve">  </w:t>
            </w:r>
            <w:r>
              <w:rPr>
                <w:rFonts w:ascii="Arial" w:hAnsi="Arial" w:cs="Arial"/>
                <w:bCs/>
              </w:rPr>
              <w:t>April 1, 2023</w:t>
            </w:r>
          </w:p>
          <w:p w14:paraId="45766B76" w14:textId="72E887F5" w:rsidR="00DA1362" w:rsidRPr="009922C0" w:rsidRDefault="00DA1362" w:rsidP="003F72F2">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No budgetary impact; no impacts to ERCOT staffing; no impacts to ERCOT computer systems; ERCOT business processes</w:t>
            </w:r>
            <w:r>
              <w:rPr>
                <w:rFonts w:ascii="Arial" w:hAnsi="Arial" w:cs="Arial"/>
              </w:rPr>
              <w:t xml:space="preserve"> will be updated</w:t>
            </w:r>
            <w:r w:rsidRPr="008123C7">
              <w:rPr>
                <w:rFonts w:ascii="Arial" w:hAnsi="Arial" w:cs="Arial"/>
              </w:rPr>
              <w:t>; no impacts to ERCOT grid operations and practices.</w:t>
            </w:r>
            <w:r>
              <w:rPr>
                <w:rFonts w:ascii="Arial" w:hAnsi="Arial" w:cs="Arial"/>
              </w:rPr>
              <w:t xml:space="preserve"> </w:t>
            </w:r>
          </w:p>
          <w:p w14:paraId="6B055A11" w14:textId="17281093" w:rsidR="00DA1362" w:rsidRPr="009922C0" w:rsidRDefault="00DA1362" w:rsidP="003F72F2">
            <w:pPr>
              <w:ind w:left="360"/>
              <w:jc w:val="both"/>
              <w:rPr>
                <w:rFonts w:ascii="Arial" w:hAnsi="Arial" w:cs="Arial"/>
              </w:rPr>
            </w:pPr>
            <w:r w:rsidRPr="009922C0">
              <w:rPr>
                <w:rFonts w:ascii="Arial" w:hAnsi="Arial" w:cs="Arial"/>
                <w:b/>
              </w:rPr>
              <w:t xml:space="preserve">Revision Description:  </w:t>
            </w:r>
            <w:r w:rsidRPr="00DA1362">
              <w:rPr>
                <w:rFonts w:ascii="Arial" w:hAnsi="Arial" w:cs="Arial"/>
              </w:rPr>
              <w:t>This RMGRR supports an MOU/EC decision process upon entry into retail competition.</w:t>
            </w:r>
          </w:p>
          <w:p w14:paraId="475D33F7" w14:textId="56628651" w:rsidR="00DA1362" w:rsidRDefault="00DA1362" w:rsidP="003F72F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Pr="008123C7">
              <w:rPr>
                <w:rFonts w:ascii="Arial" w:hAnsi="Arial" w:cs="Arial"/>
              </w:rPr>
              <w:t>On 2/20/23</w:t>
            </w:r>
            <w:r>
              <w:rPr>
                <w:rFonts w:ascii="Arial" w:hAnsi="Arial" w:cs="Arial"/>
              </w:rPr>
              <w:t>,</w:t>
            </w:r>
            <w:r w:rsidRPr="008123C7">
              <w:rPr>
                <w:rFonts w:ascii="Arial" w:hAnsi="Arial" w:cs="Arial"/>
              </w:rPr>
              <w:t xml:space="preserve"> TAC voted unanimously to recommend approval of </w:t>
            </w:r>
            <w:r>
              <w:rPr>
                <w:rFonts w:ascii="Arial" w:hAnsi="Arial" w:cs="Arial"/>
              </w:rPr>
              <w:t>RMGRR171</w:t>
            </w:r>
            <w:r w:rsidRPr="008123C7">
              <w:rPr>
                <w:rFonts w:ascii="Arial" w:hAnsi="Arial" w:cs="Arial"/>
              </w:rPr>
              <w:t xml:space="preserve"> as recommended by </w:t>
            </w:r>
            <w:r>
              <w:rPr>
                <w:rFonts w:ascii="Arial" w:hAnsi="Arial" w:cs="Arial"/>
              </w:rPr>
              <w:t>RMS</w:t>
            </w:r>
            <w:r w:rsidRPr="008123C7">
              <w:rPr>
                <w:rFonts w:ascii="Arial" w:hAnsi="Arial" w:cs="Arial"/>
              </w:rPr>
              <w:t xml:space="preserve"> in the </w:t>
            </w:r>
            <w:r>
              <w:rPr>
                <w:rFonts w:ascii="Arial" w:hAnsi="Arial" w:cs="Arial"/>
              </w:rPr>
              <w:t>2/7/23 RMS</w:t>
            </w:r>
            <w:r w:rsidRPr="008123C7">
              <w:rPr>
                <w:rFonts w:ascii="Arial" w:hAnsi="Arial" w:cs="Arial"/>
              </w:rPr>
              <w:t xml:space="preserve"> Report.  </w:t>
            </w:r>
          </w:p>
          <w:p w14:paraId="5D9F52E3" w14:textId="4EA7B332" w:rsidR="00DA1362" w:rsidRDefault="00DA1362" w:rsidP="003F72F2">
            <w:pPr>
              <w:ind w:left="360"/>
              <w:jc w:val="both"/>
              <w:rPr>
                <w:rFonts w:ascii="Arial" w:hAnsi="Arial" w:cs="Arial"/>
                <w:bCs/>
              </w:rPr>
            </w:pPr>
            <w:r>
              <w:rPr>
                <w:rFonts w:ascii="Arial" w:hAnsi="Arial" w:cs="Arial"/>
                <w:b/>
              </w:rPr>
              <w:t xml:space="preserve">ERCOT Market Impact Statement:  </w:t>
            </w:r>
            <w:r w:rsidRPr="00DA1362">
              <w:rPr>
                <w:rFonts w:ascii="Arial" w:hAnsi="Arial" w:cs="Arial"/>
                <w:bCs/>
              </w:rPr>
              <w:t>ERCOT Staff has reviewed RMGRR171 and believes it has a positive market impact by addressing current operational issues through the establishment of a process for opt-in MOUs and ECs without an affiliated Provider of Last Resort (POLR) to follow in order to provide their initial POLR allocation methodologies, methodology updates, and confirmations.</w:t>
            </w:r>
          </w:p>
          <w:p w14:paraId="456BB94D" w14:textId="77777777" w:rsidR="00DA1362" w:rsidRPr="004B0B15" w:rsidRDefault="00DA1362" w:rsidP="003F72F2">
            <w:pPr>
              <w:ind w:left="360"/>
              <w:jc w:val="both"/>
              <w:rPr>
                <w:rFonts w:ascii="Arial" w:hAnsi="Arial" w:cs="Arial"/>
                <w:bCs/>
              </w:rPr>
            </w:pPr>
          </w:p>
          <w:p w14:paraId="3009BB0E" w14:textId="77777777" w:rsidR="00A374C1" w:rsidRPr="005E3961" w:rsidRDefault="00A374C1" w:rsidP="003F72F2">
            <w:pPr>
              <w:jc w:val="both"/>
              <w:rPr>
                <w:rFonts w:ascii="Arial" w:hAnsi="Arial" w:cs="Arial"/>
                <w:b/>
                <w:i/>
              </w:rPr>
            </w:pPr>
          </w:p>
          <w:p w14:paraId="4EF91F7C" w14:textId="616234F8" w:rsidR="009C6BA6" w:rsidRPr="005E3961" w:rsidRDefault="009C6BA6" w:rsidP="005E3961">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w:t>
              </w:r>
              <w:r w:rsidRPr="005E3961">
                <w:rPr>
                  <w:rStyle w:val="Hyperlink"/>
                  <w:rFonts w:ascii="Arial" w:hAnsi="Arial" w:cs="Arial"/>
                  <w:bCs/>
                </w:rPr>
                <w:t>a</w:t>
              </w:r>
              <w:r w:rsidRPr="005E3961">
                <w:rPr>
                  <w:rStyle w:val="Hyperlink"/>
                  <w:rFonts w:ascii="Arial" w:hAnsi="Arial" w:cs="Arial"/>
                  <w:bCs/>
                </w:rPr>
                <w:t>terials</w:t>
              </w:r>
            </w:hyperlink>
            <w:r w:rsidR="0042169B" w:rsidRPr="005E3961">
              <w:rPr>
                <w:rFonts w:ascii="Arial" w:hAnsi="Arial" w:cs="Arial"/>
                <w:bCs/>
              </w:rPr>
              <w:t>.</w:t>
            </w:r>
          </w:p>
          <w:p w14:paraId="4639C5BE" w14:textId="74675491" w:rsidR="00250349" w:rsidRPr="005E3961" w:rsidRDefault="00250349" w:rsidP="005E3961">
            <w:pPr>
              <w:jc w:val="both"/>
              <w:rPr>
                <w:rFonts w:ascii="Arial" w:hAnsi="Arial" w:cs="Arial"/>
              </w:rPr>
            </w:pPr>
          </w:p>
          <w:p w14:paraId="3163E0DE" w14:textId="38CA4D6C" w:rsidR="0042169B" w:rsidRPr="005E3961" w:rsidRDefault="009C6BA6" w:rsidP="005E3961">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w:t>
              </w:r>
              <w:r w:rsidR="006D28BB" w:rsidRPr="005E3961">
                <w:rPr>
                  <w:rStyle w:val="Hyperlink"/>
                  <w:rFonts w:ascii="Arial" w:hAnsi="Arial" w:cs="Arial"/>
                  <w:bCs/>
                </w:rPr>
                <w:t>R</w:t>
              </w:r>
              <w:r w:rsidR="006D28BB" w:rsidRPr="005E3961">
                <w:rPr>
                  <w:rStyle w:val="Hyperlink"/>
                  <w:rFonts w:ascii="Arial" w:hAnsi="Arial" w:cs="Arial"/>
                  <w:bCs/>
                </w:rPr>
                <w:t>s</w:t>
              </w:r>
            </w:hyperlink>
            <w:r w:rsidR="006D28BB" w:rsidRPr="005E3961">
              <w:rPr>
                <w:rFonts w:ascii="Arial" w:hAnsi="Arial" w:cs="Arial"/>
                <w:bCs/>
              </w:rPr>
              <w:t>,</w:t>
            </w:r>
            <w:r w:rsidR="004B0B15">
              <w:rPr>
                <w:rFonts w:ascii="Arial" w:hAnsi="Arial" w:cs="Arial"/>
                <w:bCs/>
              </w:rPr>
              <w:t xml:space="preserve"> </w:t>
            </w:r>
            <w:hyperlink r:id="rId14" w:history="1">
              <w:r w:rsidR="004B0B15" w:rsidRPr="004B0B15">
                <w:rPr>
                  <w:rStyle w:val="Hyperlink"/>
                  <w:rFonts w:ascii="Arial" w:hAnsi="Arial" w:cs="Arial"/>
                  <w:bCs/>
                </w:rPr>
                <w:t>PG</w:t>
              </w:r>
              <w:r w:rsidR="004B0B15" w:rsidRPr="004B0B15">
                <w:rPr>
                  <w:rStyle w:val="Hyperlink"/>
                  <w:rFonts w:ascii="Arial" w:hAnsi="Arial" w:cs="Arial"/>
                  <w:bCs/>
                </w:rPr>
                <w:t>R</w:t>
              </w:r>
              <w:r w:rsidR="004B0B15" w:rsidRPr="004B0B15">
                <w:rPr>
                  <w:rStyle w:val="Hyperlink"/>
                  <w:rFonts w:ascii="Arial" w:hAnsi="Arial" w:cs="Arial"/>
                  <w:bCs/>
                </w:rPr>
                <w:t>R</w:t>
              </w:r>
            </w:hyperlink>
            <w:r w:rsidR="002676A7">
              <w:rPr>
                <w:rFonts w:ascii="Arial" w:hAnsi="Arial" w:cs="Arial"/>
              </w:rPr>
              <w:t xml:space="preserve"> a</w:t>
            </w:r>
            <w:r w:rsidR="00DA1362" w:rsidRPr="00DA1362">
              <w:rPr>
                <w:rFonts w:ascii="Arial" w:hAnsi="Arial" w:cs="Arial"/>
              </w:rPr>
              <w:t xml:space="preserve">nd </w:t>
            </w:r>
            <w:hyperlink r:id="rId15" w:history="1">
              <w:r w:rsidR="00DA1362" w:rsidRPr="00DA1362">
                <w:rPr>
                  <w:rStyle w:val="Hyperlink"/>
                  <w:rFonts w:ascii="Arial" w:hAnsi="Arial" w:cs="Arial"/>
                </w:rPr>
                <w:t>RM</w:t>
              </w:r>
              <w:r w:rsidR="00DA1362" w:rsidRPr="00DA1362">
                <w:rPr>
                  <w:rStyle w:val="Hyperlink"/>
                  <w:rFonts w:ascii="Arial" w:hAnsi="Arial" w:cs="Arial"/>
                </w:rPr>
                <w:t>G</w:t>
              </w:r>
              <w:r w:rsidR="00DA1362" w:rsidRPr="00DA1362">
                <w:rPr>
                  <w:rStyle w:val="Hyperlink"/>
                  <w:rFonts w:ascii="Arial" w:hAnsi="Arial" w:cs="Arial"/>
                </w:rPr>
                <w:t>RR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0C8B87E8" w:rsidR="00DA79E3" w:rsidRDefault="00DA79E3" w:rsidP="00D6614D">
            <w:pPr>
              <w:jc w:val="both"/>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NPRRs</w:t>
            </w:r>
            <w:r w:rsidR="004B0B15">
              <w:rPr>
                <w:rFonts w:ascii="Arial" w:hAnsi="Arial" w:cs="Arial"/>
                <w:bCs/>
              </w:rPr>
              <w:t xml:space="preserve"> 1144, 1147, 1149, 1151,</w:t>
            </w:r>
            <w:r w:rsidR="00DA1362">
              <w:rPr>
                <w:rFonts w:ascii="Arial" w:hAnsi="Arial" w:cs="Arial"/>
                <w:bCs/>
              </w:rPr>
              <w:t xml:space="preserve"> </w:t>
            </w:r>
            <w:r w:rsidR="004B0B15">
              <w:rPr>
                <w:rFonts w:ascii="Arial" w:hAnsi="Arial" w:cs="Arial"/>
                <w:bCs/>
              </w:rPr>
              <w:t>1153</w:t>
            </w:r>
            <w:r w:rsidR="00DA1362">
              <w:rPr>
                <w:rFonts w:ascii="Arial" w:hAnsi="Arial" w:cs="Arial"/>
                <w:bCs/>
              </w:rPr>
              <w:t>, 1158 and 1159</w:t>
            </w:r>
            <w:r w:rsidR="004B0B15">
              <w:rPr>
                <w:rFonts w:ascii="Arial" w:hAnsi="Arial" w:cs="Arial"/>
                <w:bCs/>
              </w:rPr>
              <w:t>.</w:t>
            </w:r>
          </w:p>
          <w:p w14:paraId="39A1A64A" w14:textId="77777777" w:rsidR="00C43D1F" w:rsidRDefault="00C43D1F" w:rsidP="00D6614D">
            <w:pPr>
              <w:jc w:val="both"/>
              <w:rPr>
                <w:rFonts w:ascii="Arial" w:hAnsi="Arial" w:cs="Arial"/>
                <w:bCs/>
              </w:rPr>
            </w:pPr>
          </w:p>
          <w:p w14:paraId="4B7E4AE5" w14:textId="113C8EC0"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sidR="004B0B15">
              <w:rPr>
                <w:rFonts w:ascii="Arial" w:hAnsi="Arial" w:cs="Arial"/>
                <w:bCs/>
              </w:rPr>
              <w:t xml:space="preserve">a </w:t>
            </w:r>
            <w:r>
              <w:rPr>
                <w:rFonts w:ascii="Arial" w:hAnsi="Arial" w:cs="Arial"/>
                <w:bCs/>
              </w:rPr>
              <w:t>report</w:t>
            </w:r>
            <w:r w:rsidRPr="00F47DEE">
              <w:rPr>
                <w:rFonts w:ascii="Arial" w:hAnsi="Arial" w:cs="Arial"/>
                <w:bCs/>
              </w:rPr>
              <w:t xml:space="preserve"> to TAC regarding </w:t>
            </w:r>
            <w:r w:rsidR="004B0B15">
              <w:rPr>
                <w:rFonts w:ascii="Arial" w:hAnsi="Arial" w:cs="Arial"/>
                <w:bCs/>
              </w:rPr>
              <w:t>PGRR102.</w:t>
            </w:r>
          </w:p>
          <w:p w14:paraId="5B3D2939" w14:textId="77777777" w:rsidR="00DA1362" w:rsidRDefault="00DA1362" w:rsidP="00FC4EF8">
            <w:pPr>
              <w:jc w:val="both"/>
              <w:rPr>
                <w:rFonts w:ascii="Arial" w:hAnsi="Arial" w:cs="Arial"/>
                <w:bCs/>
              </w:rPr>
            </w:pPr>
          </w:p>
          <w:p w14:paraId="52BFDC41" w14:textId="04EC008A" w:rsidR="00DA1362" w:rsidRDefault="00DA1362" w:rsidP="00FC4EF8">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discussed the issues, and submitted</w:t>
            </w:r>
            <w:r>
              <w:rPr>
                <w:rFonts w:ascii="Arial" w:hAnsi="Arial" w:cs="Arial"/>
                <w:bCs/>
              </w:rPr>
              <w:t xml:space="preserve"> a report</w:t>
            </w:r>
            <w:r w:rsidRPr="00F47DEE">
              <w:rPr>
                <w:rFonts w:ascii="Arial" w:hAnsi="Arial" w:cs="Arial"/>
                <w:bCs/>
              </w:rPr>
              <w:t xml:space="preserve"> to TAC regarding </w:t>
            </w:r>
            <w:r>
              <w:rPr>
                <w:rFonts w:ascii="Arial" w:hAnsi="Arial" w:cs="Arial"/>
                <w:bCs/>
              </w:rPr>
              <w:t>RMGRR171.</w:t>
            </w:r>
          </w:p>
          <w:p w14:paraId="6CB7B3F0" w14:textId="0E0B939C" w:rsidR="003355F2" w:rsidRPr="00F47DEE" w:rsidRDefault="003355F2" w:rsidP="004B0B15">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5DD66611"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4B0B15">
              <w:rPr>
                <w:rFonts w:ascii="Arial" w:hAnsi="Arial" w:cs="Arial"/>
                <w:bCs/>
              </w:rPr>
              <w:t>1144, 1147, 1149, 1151, 1153</w:t>
            </w:r>
            <w:r w:rsidR="00DA1362">
              <w:rPr>
                <w:rFonts w:ascii="Arial" w:hAnsi="Arial" w:cs="Arial"/>
                <w:bCs/>
              </w:rPr>
              <w:t>, 1158</w:t>
            </w:r>
            <w:r w:rsidR="002676A7">
              <w:rPr>
                <w:rFonts w:ascii="Arial" w:hAnsi="Arial" w:cs="Arial"/>
                <w:bCs/>
              </w:rPr>
              <w:t xml:space="preserve"> and</w:t>
            </w:r>
            <w:r w:rsidR="00DA1362">
              <w:rPr>
                <w:rFonts w:ascii="Arial" w:hAnsi="Arial" w:cs="Arial"/>
                <w:bCs/>
              </w:rPr>
              <w:t xml:space="preserve"> 1159</w:t>
            </w:r>
            <w:r w:rsidR="004B0B15">
              <w:rPr>
                <w:rFonts w:ascii="Arial" w:hAnsi="Arial" w:cs="Arial"/>
                <w:bCs/>
              </w:rPr>
              <w:t>; PGRR102</w:t>
            </w:r>
            <w:r w:rsidR="00DA1362">
              <w:rPr>
                <w:rFonts w:ascii="Arial" w:hAnsi="Arial" w:cs="Arial"/>
                <w:bCs/>
              </w:rPr>
              <w:t>; and RMGRR171</w:t>
            </w:r>
            <w:r w:rsidR="000C75E1">
              <w:rPr>
                <w:rFonts w:ascii="Arial" w:hAnsi="Arial" w:cs="Arial"/>
                <w:bCs/>
              </w:rPr>
              <w:t>.</w:t>
            </w:r>
          </w:p>
          <w:p w14:paraId="5802F134" w14:textId="77777777" w:rsidR="001A2306" w:rsidRPr="00F47DEE" w:rsidRDefault="001A2306" w:rsidP="00FA19B6">
            <w:pPr>
              <w:jc w:val="both"/>
              <w:rPr>
                <w:rFonts w:ascii="Arial" w:hAnsi="Arial" w:cs="Arial"/>
              </w:rPr>
            </w:pPr>
          </w:p>
        </w:tc>
      </w:tr>
    </w:tbl>
    <w:p w14:paraId="31145058" w14:textId="77777777" w:rsidR="00442B35" w:rsidRDefault="00442B35" w:rsidP="00A62562">
      <w:pPr>
        <w:jc w:val="center"/>
        <w:rPr>
          <w:rFonts w:ascii="Arial" w:hAnsi="Arial" w:cs="Arial"/>
          <w:b/>
          <w:u w:val="single"/>
        </w:rPr>
      </w:pPr>
    </w:p>
    <w:p w14:paraId="3F434FFA" w14:textId="73B7CB6A" w:rsidR="00DB6DBF" w:rsidRDefault="00DB6DBF" w:rsidP="004B0B15">
      <w:pPr>
        <w:rPr>
          <w:rFonts w:ascii="Arial" w:hAnsi="Arial" w:cs="Arial"/>
          <w:b/>
          <w:u w:val="single"/>
        </w:rPr>
      </w:pPr>
    </w:p>
    <w:p w14:paraId="6D039F9C" w14:textId="3F0F187C" w:rsidR="00DB341F" w:rsidRDefault="00DB341F" w:rsidP="004B0B15">
      <w:pPr>
        <w:rPr>
          <w:rFonts w:ascii="Arial" w:hAnsi="Arial" w:cs="Arial"/>
          <w:b/>
          <w:u w:val="single"/>
        </w:rPr>
      </w:pPr>
    </w:p>
    <w:p w14:paraId="412B2DC8" w14:textId="77777777" w:rsidR="00DB341F" w:rsidRDefault="00DB341F" w:rsidP="004B0B15">
      <w:pPr>
        <w:rPr>
          <w:rFonts w:ascii="Arial" w:hAnsi="Arial" w:cs="Arial"/>
          <w:b/>
          <w:u w:val="single"/>
        </w:rPr>
      </w:pPr>
    </w:p>
    <w:p w14:paraId="16788256" w14:textId="77777777" w:rsidR="00F53FA3" w:rsidRDefault="00F53FA3" w:rsidP="00D01ADD">
      <w:pPr>
        <w:jc w:val="center"/>
        <w:rPr>
          <w:rFonts w:ascii="Arial" w:hAnsi="Arial" w:cs="Arial"/>
          <w:b/>
          <w:u w:val="single"/>
        </w:rPr>
      </w:pPr>
    </w:p>
    <w:p w14:paraId="5D04B559" w14:textId="77777777" w:rsidR="00F53FA3" w:rsidRDefault="00F53FA3" w:rsidP="00D01ADD">
      <w:pPr>
        <w:jc w:val="center"/>
        <w:rPr>
          <w:rFonts w:ascii="Arial" w:hAnsi="Arial" w:cs="Arial"/>
          <w:b/>
          <w:u w:val="single"/>
        </w:rPr>
      </w:pPr>
    </w:p>
    <w:p w14:paraId="649C900F" w14:textId="77777777" w:rsidR="00F53FA3" w:rsidRDefault="00F53FA3" w:rsidP="00D01ADD">
      <w:pPr>
        <w:jc w:val="center"/>
        <w:rPr>
          <w:rFonts w:ascii="Arial" w:hAnsi="Arial" w:cs="Arial"/>
          <w:b/>
          <w:u w:val="single"/>
        </w:rPr>
      </w:pPr>
    </w:p>
    <w:p w14:paraId="35754BCD" w14:textId="77777777" w:rsidR="00F53FA3" w:rsidRDefault="00F53FA3" w:rsidP="00D01ADD">
      <w:pPr>
        <w:jc w:val="center"/>
        <w:rPr>
          <w:rFonts w:ascii="Arial" w:hAnsi="Arial" w:cs="Arial"/>
          <w:b/>
          <w:u w:val="single"/>
        </w:rPr>
      </w:pPr>
    </w:p>
    <w:p w14:paraId="77C7DEF7" w14:textId="77777777" w:rsidR="00F53FA3" w:rsidRDefault="00F53FA3" w:rsidP="00D01ADD">
      <w:pPr>
        <w:jc w:val="center"/>
        <w:rPr>
          <w:rFonts w:ascii="Arial" w:hAnsi="Arial" w:cs="Arial"/>
          <w:b/>
          <w:u w:val="single"/>
        </w:rPr>
      </w:pPr>
    </w:p>
    <w:p w14:paraId="23C3DD0B" w14:textId="77777777" w:rsidR="00F53FA3" w:rsidRDefault="00F53FA3" w:rsidP="00D01ADD">
      <w:pPr>
        <w:jc w:val="center"/>
        <w:rPr>
          <w:rFonts w:ascii="Arial" w:hAnsi="Arial" w:cs="Arial"/>
          <w:b/>
          <w:u w:val="single"/>
        </w:rPr>
      </w:pPr>
    </w:p>
    <w:p w14:paraId="227FAD80" w14:textId="77777777" w:rsidR="00F53FA3" w:rsidRDefault="00F53FA3" w:rsidP="00D01ADD">
      <w:pPr>
        <w:jc w:val="center"/>
        <w:rPr>
          <w:rFonts w:ascii="Arial" w:hAnsi="Arial" w:cs="Arial"/>
          <w:b/>
          <w:u w:val="single"/>
        </w:rPr>
      </w:pPr>
    </w:p>
    <w:p w14:paraId="2235402B" w14:textId="77777777" w:rsidR="00F53FA3" w:rsidRDefault="00F53FA3" w:rsidP="00D01ADD">
      <w:pPr>
        <w:jc w:val="center"/>
        <w:rPr>
          <w:rFonts w:ascii="Arial" w:hAnsi="Arial" w:cs="Arial"/>
          <w:b/>
          <w:u w:val="single"/>
        </w:rPr>
      </w:pPr>
    </w:p>
    <w:p w14:paraId="37AE7DEE" w14:textId="77777777" w:rsidR="00F53FA3" w:rsidRDefault="00F53FA3" w:rsidP="00D01ADD">
      <w:pPr>
        <w:jc w:val="center"/>
        <w:rPr>
          <w:rFonts w:ascii="Arial" w:hAnsi="Arial" w:cs="Arial"/>
          <w:b/>
          <w:u w:val="single"/>
        </w:rPr>
      </w:pPr>
    </w:p>
    <w:p w14:paraId="7DF2651F" w14:textId="77777777" w:rsidR="00F53FA3" w:rsidRDefault="00F53FA3" w:rsidP="00D01ADD">
      <w:pPr>
        <w:jc w:val="center"/>
        <w:rPr>
          <w:rFonts w:ascii="Arial" w:hAnsi="Arial" w:cs="Arial"/>
          <w:b/>
          <w:u w:val="single"/>
        </w:rPr>
      </w:pPr>
    </w:p>
    <w:p w14:paraId="42779E83" w14:textId="77777777" w:rsidR="00F53FA3" w:rsidRDefault="00F53FA3" w:rsidP="00D01ADD">
      <w:pPr>
        <w:jc w:val="center"/>
        <w:rPr>
          <w:rFonts w:ascii="Arial" w:hAnsi="Arial" w:cs="Arial"/>
          <w:b/>
          <w:u w:val="single"/>
        </w:rPr>
      </w:pPr>
    </w:p>
    <w:p w14:paraId="2894F7F5" w14:textId="77777777" w:rsidR="00F53FA3" w:rsidRDefault="00F53FA3" w:rsidP="00D01ADD">
      <w:pPr>
        <w:jc w:val="center"/>
        <w:rPr>
          <w:rFonts w:ascii="Arial" w:hAnsi="Arial" w:cs="Arial"/>
          <w:b/>
          <w:u w:val="single"/>
        </w:rPr>
      </w:pPr>
    </w:p>
    <w:p w14:paraId="726D64DD" w14:textId="77777777" w:rsidR="00F53FA3" w:rsidRDefault="00F53FA3" w:rsidP="00D01ADD">
      <w:pPr>
        <w:jc w:val="center"/>
        <w:rPr>
          <w:rFonts w:ascii="Arial" w:hAnsi="Arial" w:cs="Arial"/>
          <w:b/>
          <w:u w:val="single"/>
        </w:rPr>
      </w:pPr>
    </w:p>
    <w:p w14:paraId="093180FD" w14:textId="77777777" w:rsidR="00F53FA3" w:rsidRDefault="00F53FA3" w:rsidP="00D01ADD">
      <w:pPr>
        <w:jc w:val="center"/>
        <w:rPr>
          <w:rFonts w:ascii="Arial" w:hAnsi="Arial" w:cs="Arial"/>
          <w:b/>
          <w:u w:val="single"/>
        </w:rPr>
      </w:pPr>
    </w:p>
    <w:p w14:paraId="4515BA86" w14:textId="77777777" w:rsidR="00F53FA3" w:rsidRDefault="00F53FA3" w:rsidP="00D01ADD">
      <w:pPr>
        <w:jc w:val="center"/>
        <w:rPr>
          <w:rFonts w:ascii="Arial" w:hAnsi="Arial" w:cs="Arial"/>
          <w:b/>
          <w:u w:val="single"/>
        </w:rPr>
      </w:pPr>
    </w:p>
    <w:p w14:paraId="659BB934" w14:textId="77777777" w:rsidR="00F53FA3" w:rsidRDefault="00F53FA3" w:rsidP="00D01ADD">
      <w:pPr>
        <w:jc w:val="center"/>
        <w:rPr>
          <w:rFonts w:ascii="Arial" w:hAnsi="Arial" w:cs="Arial"/>
          <w:b/>
          <w:u w:val="single"/>
        </w:rPr>
      </w:pPr>
    </w:p>
    <w:p w14:paraId="4D3D6E87" w14:textId="77777777" w:rsidR="00F53FA3" w:rsidRDefault="00F53FA3" w:rsidP="00D01ADD">
      <w:pPr>
        <w:jc w:val="center"/>
        <w:rPr>
          <w:rFonts w:ascii="Arial" w:hAnsi="Arial" w:cs="Arial"/>
          <w:b/>
          <w:u w:val="single"/>
        </w:rPr>
      </w:pPr>
    </w:p>
    <w:p w14:paraId="730EF594" w14:textId="77777777" w:rsidR="00F53FA3" w:rsidRDefault="00F53FA3" w:rsidP="00D01ADD">
      <w:pPr>
        <w:jc w:val="center"/>
        <w:rPr>
          <w:rFonts w:ascii="Arial" w:hAnsi="Arial" w:cs="Arial"/>
          <w:b/>
          <w:u w:val="single"/>
        </w:rPr>
      </w:pPr>
    </w:p>
    <w:p w14:paraId="59CE4E4A" w14:textId="77777777" w:rsidR="00F53FA3" w:rsidRDefault="00F53FA3" w:rsidP="00D01ADD">
      <w:pPr>
        <w:jc w:val="center"/>
        <w:rPr>
          <w:rFonts w:ascii="Arial" w:hAnsi="Arial" w:cs="Arial"/>
          <w:b/>
          <w:u w:val="single"/>
        </w:rPr>
      </w:pPr>
    </w:p>
    <w:p w14:paraId="09A963BB" w14:textId="77777777" w:rsidR="00F53FA3" w:rsidRDefault="00F53FA3" w:rsidP="00D01ADD">
      <w:pPr>
        <w:jc w:val="center"/>
        <w:rPr>
          <w:rFonts w:ascii="Arial" w:hAnsi="Arial" w:cs="Arial"/>
          <w:b/>
          <w:u w:val="single"/>
        </w:rPr>
      </w:pPr>
    </w:p>
    <w:p w14:paraId="70CB28D7" w14:textId="5A9E6584" w:rsidR="00307699" w:rsidRPr="00F47DEE" w:rsidRDefault="00307699" w:rsidP="00D01ADD">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B9B4D90"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B030EA">
        <w:rPr>
          <w:rFonts w:ascii="Arial" w:hAnsi="Arial" w:cs="Arial"/>
          <w:bCs/>
        </w:rPr>
        <w:t>Nodal Protocol Revision Requests (NPRRs)</w:t>
      </w:r>
      <w:r w:rsidR="00DA1362">
        <w:rPr>
          <w:rFonts w:ascii="Arial" w:hAnsi="Arial" w:cs="Arial"/>
          <w:bCs/>
        </w:rPr>
        <w:t xml:space="preserve">, </w:t>
      </w:r>
      <w:r w:rsidR="004B0B15">
        <w:rPr>
          <w:rFonts w:ascii="Arial" w:hAnsi="Arial" w:cs="Arial"/>
          <w:bCs/>
        </w:rPr>
        <w:t>Planning Guide Revision Request (PGRR)</w:t>
      </w:r>
      <w:r w:rsidR="00DA1362">
        <w:rPr>
          <w:rFonts w:ascii="Arial" w:hAnsi="Arial" w:cs="Arial"/>
        </w:rPr>
        <w:t xml:space="preserve">, and Retail market Guide Revision Request (RMGRR) </w:t>
      </w:r>
      <w:r w:rsidR="00F1137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36928BB0" w14:textId="77777777" w:rsidR="004B0B15" w:rsidRPr="009922C0" w:rsidRDefault="004B0B15" w:rsidP="004B0B15">
      <w:pPr>
        <w:numPr>
          <w:ilvl w:val="0"/>
          <w:numId w:val="6"/>
        </w:numPr>
        <w:jc w:val="both"/>
        <w:rPr>
          <w:rFonts w:ascii="Arial" w:hAnsi="Arial" w:cs="Arial"/>
          <w:bCs/>
        </w:rPr>
      </w:pPr>
      <w:r w:rsidRPr="009922C0">
        <w:rPr>
          <w:rFonts w:ascii="Arial" w:hAnsi="Arial" w:cs="Arial"/>
          <w:bCs/>
        </w:rPr>
        <w:t>NPRR1144, Station Service Backup Power Metering</w:t>
      </w:r>
      <w:r>
        <w:rPr>
          <w:rFonts w:ascii="Arial" w:hAnsi="Arial" w:cs="Arial"/>
          <w:bCs/>
        </w:rPr>
        <w:t>;</w:t>
      </w:r>
    </w:p>
    <w:p w14:paraId="2F059EB4" w14:textId="77777777" w:rsidR="004B0B15" w:rsidRPr="009922C0" w:rsidRDefault="004B0B15" w:rsidP="004B0B15">
      <w:pPr>
        <w:numPr>
          <w:ilvl w:val="0"/>
          <w:numId w:val="6"/>
        </w:numPr>
        <w:jc w:val="both"/>
        <w:rPr>
          <w:rFonts w:ascii="Arial" w:hAnsi="Arial" w:cs="Arial"/>
          <w:bCs/>
        </w:rPr>
      </w:pPr>
      <w:r w:rsidRPr="009922C0">
        <w:rPr>
          <w:rFonts w:ascii="Arial" w:hAnsi="Arial" w:cs="Arial"/>
          <w:bCs/>
        </w:rPr>
        <w:t>NPRR1147, Update and Improve Notification and Evaluation Processes Associated with Reliability Must-Run (RMR)</w:t>
      </w:r>
      <w:r>
        <w:rPr>
          <w:rFonts w:ascii="Arial" w:hAnsi="Arial" w:cs="Arial"/>
          <w:bCs/>
        </w:rPr>
        <w:t>;</w:t>
      </w:r>
    </w:p>
    <w:p w14:paraId="05A628F9" w14:textId="77777777" w:rsidR="004B0B15" w:rsidRPr="009922C0" w:rsidRDefault="004B0B15" w:rsidP="004B0B15">
      <w:pPr>
        <w:numPr>
          <w:ilvl w:val="0"/>
          <w:numId w:val="6"/>
        </w:numPr>
        <w:jc w:val="both"/>
        <w:rPr>
          <w:rFonts w:ascii="Arial" w:hAnsi="Arial" w:cs="Arial"/>
          <w:bCs/>
        </w:rPr>
      </w:pPr>
      <w:r w:rsidRPr="009922C0">
        <w:rPr>
          <w:rFonts w:ascii="Arial" w:hAnsi="Arial" w:cs="Arial"/>
          <w:bCs/>
        </w:rPr>
        <w:t>NPRR1149, Implementation of Systematic Ancillary Service Failed Quantity Charges</w:t>
      </w:r>
      <w:r>
        <w:rPr>
          <w:rFonts w:ascii="Arial" w:hAnsi="Arial" w:cs="Arial"/>
          <w:bCs/>
        </w:rPr>
        <w:t>;</w:t>
      </w:r>
    </w:p>
    <w:p w14:paraId="527E9A2B" w14:textId="77777777" w:rsidR="004B0B15" w:rsidRPr="009922C0" w:rsidRDefault="004B0B15" w:rsidP="004B0B15">
      <w:pPr>
        <w:numPr>
          <w:ilvl w:val="0"/>
          <w:numId w:val="6"/>
        </w:numPr>
        <w:jc w:val="both"/>
        <w:rPr>
          <w:rFonts w:ascii="Arial" w:hAnsi="Arial" w:cs="Arial"/>
          <w:bCs/>
        </w:rPr>
      </w:pPr>
      <w:r w:rsidRPr="009922C0">
        <w:rPr>
          <w:rFonts w:ascii="Arial" w:hAnsi="Arial" w:cs="Arial"/>
          <w:bCs/>
        </w:rPr>
        <w:t>NPRR1151, Protocol Revision Subcommittee Meeting Requirement</w:t>
      </w:r>
      <w:r>
        <w:rPr>
          <w:rFonts w:ascii="Arial" w:hAnsi="Arial" w:cs="Arial"/>
          <w:bCs/>
        </w:rPr>
        <w:t>;</w:t>
      </w:r>
      <w:r w:rsidRPr="009922C0">
        <w:rPr>
          <w:rFonts w:ascii="Arial" w:hAnsi="Arial" w:cs="Arial"/>
          <w:bCs/>
        </w:rPr>
        <w:t xml:space="preserve"> </w:t>
      </w:r>
    </w:p>
    <w:p w14:paraId="327035C4" w14:textId="0E3ED5AA" w:rsidR="004B0B15" w:rsidRPr="00DA1362" w:rsidRDefault="004B0B15" w:rsidP="004B0B15">
      <w:pPr>
        <w:pStyle w:val="ListParagraph"/>
        <w:numPr>
          <w:ilvl w:val="0"/>
          <w:numId w:val="6"/>
        </w:numPr>
        <w:spacing w:after="120"/>
        <w:rPr>
          <w:rFonts w:ascii="Arial" w:hAnsi="Arial" w:cs="Arial"/>
        </w:rPr>
      </w:pPr>
      <w:r w:rsidRPr="009922C0">
        <w:rPr>
          <w:rFonts w:ascii="Arial" w:hAnsi="Arial" w:cs="Arial"/>
          <w:bCs/>
        </w:rPr>
        <w:t>NPRR1153, ERCOT Fee Schedule Changes</w:t>
      </w:r>
      <w:r>
        <w:rPr>
          <w:rFonts w:ascii="Arial" w:hAnsi="Arial" w:cs="Arial"/>
          <w:bCs/>
        </w:rPr>
        <w:t xml:space="preserve">; </w:t>
      </w:r>
    </w:p>
    <w:p w14:paraId="64A819AA" w14:textId="65C5E769" w:rsidR="00DA1362" w:rsidRPr="00DA1362" w:rsidRDefault="00DA1362" w:rsidP="00DA1362">
      <w:pPr>
        <w:pStyle w:val="ListParagraph"/>
        <w:numPr>
          <w:ilvl w:val="0"/>
          <w:numId w:val="6"/>
        </w:numPr>
        <w:spacing w:after="120"/>
        <w:rPr>
          <w:rFonts w:ascii="Arial" w:hAnsi="Arial" w:cs="Arial"/>
        </w:rPr>
      </w:pPr>
      <w:r w:rsidRPr="00DA1362">
        <w:rPr>
          <w:rFonts w:ascii="Arial" w:hAnsi="Arial" w:cs="Arial"/>
        </w:rPr>
        <w:t>NPRR1158, Remove Sunset Date for Weatherization Inspection Fees</w:t>
      </w:r>
      <w:r>
        <w:rPr>
          <w:rFonts w:ascii="Arial" w:hAnsi="Arial" w:cs="Arial"/>
        </w:rPr>
        <w:t>;</w:t>
      </w:r>
    </w:p>
    <w:p w14:paraId="1B9790EF" w14:textId="744B9968" w:rsidR="00DA1362" w:rsidRPr="004B0B15" w:rsidRDefault="00DA1362" w:rsidP="00DA1362">
      <w:pPr>
        <w:pStyle w:val="ListParagraph"/>
        <w:numPr>
          <w:ilvl w:val="0"/>
          <w:numId w:val="6"/>
        </w:numPr>
        <w:spacing w:after="120"/>
        <w:rPr>
          <w:rFonts w:ascii="Arial" w:hAnsi="Arial" w:cs="Arial"/>
        </w:rPr>
      </w:pPr>
      <w:r w:rsidRPr="00DA1362">
        <w:rPr>
          <w:rFonts w:ascii="Arial" w:hAnsi="Arial" w:cs="Arial"/>
        </w:rPr>
        <w:t>NPRR1159, Related to RMGRR171, Changes to Transition Process That Require Opt-in MOU and EC That Are Designating POLR to Provide Mass Transition Methodology to ERCOT</w:t>
      </w:r>
      <w:r>
        <w:rPr>
          <w:rFonts w:ascii="Arial" w:hAnsi="Arial" w:cs="Arial"/>
        </w:rPr>
        <w:t>;</w:t>
      </w:r>
    </w:p>
    <w:p w14:paraId="26DE5F06" w14:textId="1B689651" w:rsidR="000C75E1" w:rsidRPr="00DA1362" w:rsidRDefault="004B0B15" w:rsidP="004B0B15">
      <w:pPr>
        <w:pStyle w:val="ListParagraph"/>
        <w:numPr>
          <w:ilvl w:val="0"/>
          <w:numId w:val="6"/>
        </w:numPr>
        <w:spacing w:after="120"/>
        <w:rPr>
          <w:rFonts w:ascii="Arial" w:hAnsi="Arial" w:cs="Arial"/>
        </w:rPr>
      </w:pPr>
      <w:r w:rsidRPr="004B0B15">
        <w:rPr>
          <w:rFonts w:ascii="Arial" w:hAnsi="Arial" w:cs="Arial"/>
          <w:bCs/>
        </w:rPr>
        <w:t>PGRR102, Dynamic Operation Model Improvement</w:t>
      </w:r>
      <w:r w:rsidR="00DA1362">
        <w:rPr>
          <w:rFonts w:ascii="Arial" w:hAnsi="Arial" w:cs="Arial"/>
          <w:bCs/>
        </w:rPr>
        <w:t>; and</w:t>
      </w:r>
    </w:p>
    <w:p w14:paraId="16C75D19" w14:textId="4CA969E1" w:rsidR="00DA1362" w:rsidRPr="004B0B15" w:rsidRDefault="00DA1362" w:rsidP="004B0B15">
      <w:pPr>
        <w:pStyle w:val="ListParagraph"/>
        <w:numPr>
          <w:ilvl w:val="0"/>
          <w:numId w:val="6"/>
        </w:numPr>
        <w:spacing w:after="120"/>
        <w:rPr>
          <w:rFonts w:ascii="Arial" w:hAnsi="Arial" w:cs="Arial"/>
        </w:rPr>
      </w:pPr>
      <w:r w:rsidRPr="00DA1362">
        <w:rPr>
          <w:rFonts w:ascii="Arial" w:hAnsi="Arial" w:cs="Arial"/>
        </w:rPr>
        <w:t>RMGRR171, Changes to Transition Process That Require Opt-in MOU and EC That Are Designating POLR to Provide Mass Transition Methodology to ERCOT</w:t>
      </w:r>
      <w:r w:rsidR="002676A7">
        <w:rPr>
          <w:rFonts w:ascii="Arial" w:hAnsi="Arial" w:cs="Arial"/>
        </w:rPr>
        <w:t>.</w:t>
      </w:r>
    </w:p>
    <w:p w14:paraId="392FD404" w14:textId="77777777" w:rsidR="004B0B15" w:rsidRPr="004B0B15" w:rsidRDefault="004B0B15" w:rsidP="004B0B15">
      <w:pPr>
        <w:pStyle w:val="ListParagraph"/>
        <w:spacing w:after="120"/>
        <w:rPr>
          <w:rFonts w:ascii="Arial" w:hAnsi="Arial" w:cs="Arial"/>
        </w:rPr>
      </w:pPr>
    </w:p>
    <w:p w14:paraId="5CB818DC" w14:textId="56B6A8FD"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0C75E1" w:rsidRPr="00F43783">
        <w:rPr>
          <w:rFonts w:ascii="Arial" w:hAnsi="Arial" w:cs="Arial"/>
          <w:bCs/>
        </w:rPr>
        <w:t xml:space="preserve">NPRRs </w:t>
      </w:r>
      <w:r w:rsidR="004B0B15">
        <w:rPr>
          <w:rFonts w:ascii="Arial" w:hAnsi="Arial" w:cs="Arial"/>
          <w:bCs/>
        </w:rPr>
        <w:t>1144, 1147, 1149, 1151, 1153</w:t>
      </w:r>
      <w:r w:rsidR="00DA1362">
        <w:rPr>
          <w:rFonts w:ascii="Arial" w:hAnsi="Arial" w:cs="Arial"/>
          <w:bCs/>
        </w:rPr>
        <w:t>, 1158</w:t>
      </w:r>
      <w:r w:rsidR="002676A7">
        <w:rPr>
          <w:rFonts w:ascii="Arial" w:hAnsi="Arial" w:cs="Arial"/>
          <w:bCs/>
        </w:rPr>
        <w:t xml:space="preserve"> and</w:t>
      </w:r>
      <w:r w:rsidR="00DA1362">
        <w:rPr>
          <w:rFonts w:ascii="Arial" w:hAnsi="Arial" w:cs="Arial"/>
          <w:bCs/>
        </w:rPr>
        <w:t xml:space="preserve"> 1159</w:t>
      </w:r>
      <w:r w:rsidR="004B0B15">
        <w:rPr>
          <w:rFonts w:ascii="Arial" w:hAnsi="Arial" w:cs="Arial"/>
          <w:bCs/>
        </w:rPr>
        <w:t xml:space="preserve">; </w:t>
      </w:r>
      <w:r w:rsidR="00DA1362">
        <w:rPr>
          <w:rFonts w:ascii="Arial" w:hAnsi="Arial" w:cs="Arial"/>
          <w:bCs/>
        </w:rPr>
        <w:t xml:space="preserve">RMGRR171; and </w:t>
      </w:r>
      <w:r w:rsidR="004B0B15">
        <w:rPr>
          <w:rFonts w:ascii="Arial" w:hAnsi="Arial" w:cs="Arial"/>
          <w:bCs/>
        </w:rPr>
        <w:t>PGRR102.</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647E4FC5"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2676A7">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880DC9">
        <w:rPr>
          <w:rFonts w:ascii="Arial" w:hAnsi="Arial" w:cs="Arial"/>
        </w:rPr>
        <w:t>February 28, 2023</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47CD54DB"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880DC9">
        <w:rPr>
          <w:rFonts w:ascii="Arial" w:hAnsi="Arial" w:cs="Arial"/>
        </w:rPr>
        <w:t>February</w:t>
      </w:r>
      <w:r w:rsidR="002676A7">
        <w:rPr>
          <w:rFonts w:ascii="Arial" w:hAnsi="Arial" w:cs="Arial"/>
        </w:rPr>
        <w:t>,</w:t>
      </w:r>
      <w:r w:rsidR="00880DC9">
        <w:rPr>
          <w:rFonts w:ascii="Arial" w:hAnsi="Arial" w:cs="Arial"/>
        </w:rPr>
        <w:t xml:space="preserve"> </w:t>
      </w:r>
      <w:r w:rsidR="00F11373">
        <w:rPr>
          <w:rFonts w:ascii="Arial" w:hAnsi="Arial" w:cs="Arial"/>
        </w:rPr>
        <w:t>202</w:t>
      </w:r>
      <w:r w:rsidR="00880DC9">
        <w:rPr>
          <w:rFonts w:ascii="Arial" w:hAnsi="Arial" w:cs="Arial"/>
        </w:rPr>
        <w:t>3</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2125F24E" w:rsidR="00307699" w:rsidRPr="00F47DEE" w:rsidRDefault="002676A7"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68FEC2D1"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D30D6">
      <w:rPr>
        <w:rFonts w:ascii="Arial" w:hAnsi="Arial" w:cs="Arial"/>
        <w:sz w:val="20"/>
        <w:szCs w:val="20"/>
      </w:rPr>
      <w:t>4</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4"/>
  </w:num>
  <w:num w:numId="3">
    <w:abstractNumId w:val="2"/>
  </w:num>
  <w:num w:numId="4">
    <w:abstractNumId w:val="2"/>
  </w:num>
  <w:num w:numId="5">
    <w:abstractNumId w:val="2"/>
  </w:num>
  <w:num w:numId="6">
    <w:abstractNumId w:val="1"/>
  </w:num>
  <w:num w:numId="7">
    <w:abstractNumId w:val="2"/>
  </w:num>
  <w:num w:numId="8">
    <w:abstractNumId w:val="2"/>
  </w:num>
  <w:num w:numId="9">
    <w:abstractNumId w:val="2"/>
  </w:num>
  <w:num w:numId="10">
    <w:abstractNumId w:val="3"/>
  </w:num>
  <w:num w:numId="11">
    <w:abstractNumId w:val="0"/>
  </w:num>
  <w:num w:numId="12">
    <w:abstractNumId w:val="5"/>
  </w:num>
  <w:num w:numId="13">
    <w:abstractNumId w:val="2"/>
  </w:num>
  <w:num w:numId="14">
    <w:abstractNumId w:val="2"/>
  </w:num>
  <w:num w:numId="1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337B1"/>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06D03"/>
    <w:rsid w:val="001116AC"/>
    <w:rsid w:val="001126E9"/>
    <w:rsid w:val="00115A4B"/>
    <w:rsid w:val="00115CD3"/>
    <w:rsid w:val="00120276"/>
    <w:rsid w:val="00121443"/>
    <w:rsid w:val="00121DEB"/>
    <w:rsid w:val="001237B5"/>
    <w:rsid w:val="00124066"/>
    <w:rsid w:val="00125C47"/>
    <w:rsid w:val="00134E7B"/>
    <w:rsid w:val="00135295"/>
    <w:rsid w:val="00137034"/>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4488"/>
    <w:rsid w:val="0019529A"/>
    <w:rsid w:val="00197003"/>
    <w:rsid w:val="001A003B"/>
    <w:rsid w:val="001A0DEC"/>
    <w:rsid w:val="001A2306"/>
    <w:rsid w:val="001A42C2"/>
    <w:rsid w:val="001A5A75"/>
    <w:rsid w:val="001C4610"/>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2C88"/>
    <w:rsid w:val="002462CB"/>
    <w:rsid w:val="00246938"/>
    <w:rsid w:val="00250349"/>
    <w:rsid w:val="00254440"/>
    <w:rsid w:val="00254EDB"/>
    <w:rsid w:val="00255C29"/>
    <w:rsid w:val="00261280"/>
    <w:rsid w:val="00262FD5"/>
    <w:rsid w:val="00264652"/>
    <w:rsid w:val="00264B42"/>
    <w:rsid w:val="00265CDA"/>
    <w:rsid w:val="00265ECC"/>
    <w:rsid w:val="002676A7"/>
    <w:rsid w:val="0027494A"/>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6E8"/>
    <w:rsid w:val="002C3D33"/>
    <w:rsid w:val="002C6DD4"/>
    <w:rsid w:val="002C7B24"/>
    <w:rsid w:val="002C7C9A"/>
    <w:rsid w:val="002D003B"/>
    <w:rsid w:val="002D0DFE"/>
    <w:rsid w:val="002D5E70"/>
    <w:rsid w:val="002D7E37"/>
    <w:rsid w:val="002E1682"/>
    <w:rsid w:val="002E235F"/>
    <w:rsid w:val="002E2BEF"/>
    <w:rsid w:val="002E3ED2"/>
    <w:rsid w:val="002E4236"/>
    <w:rsid w:val="002E63BA"/>
    <w:rsid w:val="002E7BC5"/>
    <w:rsid w:val="002F3545"/>
    <w:rsid w:val="002F3E01"/>
    <w:rsid w:val="002F4A9E"/>
    <w:rsid w:val="002F588E"/>
    <w:rsid w:val="002F5F0E"/>
    <w:rsid w:val="003013E3"/>
    <w:rsid w:val="00303052"/>
    <w:rsid w:val="003037A7"/>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B7896"/>
    <w:rsid w:val="003C1AA9"/>
    <w:rsid w:val="003C3608"/>
    <w:rsid w:val="003C44F3"/>
    <w:rsid w:val="003C5C26"/>
    <w:rsid w:val="003C7C4F"/>
    <w:rsid w:val="003C7FE2"/>
    <w:rsid w:val="003D1338"/>
    <w:rsid w:val="003D1AE4"/>
    <w:rsid w:val="003D30D6"/>
    <w:rsid w:val="003D35EA"/>
    <w:rsid w:val="003D4154"/>
    <w:rsid w:val="003E12A1"/>
    <w:rsid w:val="003E1528"/>
    <w:rsid w:val="003E20F5"/>
    <w:rsid w:val="003E2E29"/>
    <w:rsid w:val="003E3D6E"/>
    <w:rsid w:val="003E4DBF"/>
    <w:rsid w:val="003E702F"/>
    <w:rsid w:val="003E7FD1"/>
    <w:rsid w:val="003F1402"/>
    <w:rsid w:val="003F72F2"/>
    <w:rsid w:val="003F78A5"/>
    <w:rsid w:val="00400D65"/>
    <w:rsid w:val="00403A59"/>
    <w:rsid w:val="004048E8"/>
    <w:rsid w:val="00405C5B"/>
    <w:rsid w:val="00407C3B"/>
    <w:rsid w:val="00410414"/>
    <w:rsid w:val="00412A91"/>
    <w:rsid w:val="00414AD8"/>
    <w:rsid w:val="0042169B"/>
    <w:rsid w:val="0042263F"/>
    <w:rsid w:val="00423242"/>
    <w:rsid w:val="0042412A"/>
    <w:rsid w:val="00424F11"/>
    <w:rsid w:val="004255CC"/>
    <w:rsid w:val="004314BB"/>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70150"/>
    <w:rsid w:val="004718C1"/>
    <w:rsid w:val="00471C8B"/>
    <w:rsid w:val="00473610"/>
    <w:rsid w:val="0047489E"/>
    <w:rsid w:val="00477C7C"/>
    <w:rsid w:val="00484EEE"/>
    <w:rsid w:val="00485E37"/>
    <w:rsid w:val="004869EE"/>
    <w:rsid w:val="004900B1"/>
    <w:rsid w:val="00492AA9"/>
    <w:rsid w:val="00495B27"/>
    <w:rsid w:val="00495F5C"/>
    <w:rsid w:val="00496E5D"/>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28DB"/>
    <w:rsid w:val="005537E3"/>
    <w:rsid w:val="00554C63"/>
    <w:rsid w:val="005564FD"/>
    <w:rsid w:val="005565AC"/>
    <w:rsid w:val="0056073D"/>
    <w:rsid w:val="005619DD"/>
    <w:rsid w:val="00562777"/>
    <w:rsid w:val="0056426D"/>
    <w:rsid w:val="005723C2"/>
    <w:rsid w:val="00572C31"/>
    <w:rsid w:val="00573F65"/>
    <w:rsid w:val="005805BF"/>
    <w:rsid w:val="00580A30"/>
    <w:rsid w:val="00581E69"/>
    <w:rsid w:val="00582184"/>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A93"/>
    <w:rsid w:val="00616C55"/>
    <w:rsid w:val="00616D18"/>
    <w:rsid w:val="00617527"/>
    <w:rsid w:val="006175B8"/>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873C0"/>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6F6A4D"/>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54A0"/>
    <w:rsid w:val="00747019"/>
    <w:rsid w:val="00750646"/>
    <w:rsid w:val="00752A94"/>
    <w:rsid w:val="00753685"/>
    <w:rsid w:val="007550D0"/>
    <w:rsid w:val="00755C09"/>
    <w:rsid w:val="00756F36"/>
    <w:rsid w:val="00763082"/>
    <w:rsid w:val="00764B1D"/>
    <w:rsid w:val="00771606"/>
    <w:rsid w:val="007718BC"/>
    <w:rsid w:val="00771D3F"/>
    <w:rsid w:val="007727C7"/>
    <w:rsid w:val="00772830"/>
    <w:rsid w:val="00774A29"/>
    <w:rsid w:val="0077538D"/>
    <w:rsid w:val="00782DDD"/>
    <w:rsid w:val="00783C94"/>
    <w:rsid w:val="0078417B"/>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802088"/>
    <w:rsid w:val="00803A7E"/>
    <w:rsid w:val="00804084"/>
    <w:rsid w:val="008046F2"/>
    <w:rsid w:val="00806F76"/>
    <w:rsid w:val="00806FC0"/>
    <w:rsid w:val="008123C7"/>
    <w:rsid w:val="0081574E"/>
    <w:rsid w:val="00815EC1"/>
    <w:rsid w:val="00820380"/>
    <w:rsid w:val="00820F55"/>
    <w:rsid w:val="00822459"/>
    <w:rsid w:val="0082339A"/>
    <w:rsid w:val="00824615"/>
    <w:rsid w:val="00834864"/>
    <w:rsid w:val="00836146"/>
    <w:rsid w:val="00840278"/>
    <w:rsid w:val="00842CEA"/>
    <w:rsid w:val="00847896"/>
    <w:rsid w:val="00850549"/>
    <w:rsid w:val="00850585"/>
    <w:rsid w:val="00851E5C"/>
    <w:rsid w:val="008534F5"/>
    <w:rsid w:val="00854723"/>
    <w:rsid w:val="00854CB9"/>
    <w:rsid w:val="008625CF"/>
    <w:rsid w:val="008632E4"/>
    <w:rsid w:val="00863B4B"/>
    <w:rsid w:val="00863D26"/>
    <w:rsid w:val="0086434C"/>
    <w:rsid w:val="0086616F"/>
    <w:rsid w:val="00867192"/>
    <w:rsid w:val="00867AD2"/>
    <w:rsid w:val="00880DC9"/>
    <w:rsid w:val="00882825"/>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7B3C"/>
    <w:rsid w:val="008E3C08"/>
    <w:rsid w:val="008E5D56"/>
    <w:rsid w:val="008E5E28"/>
    <w:rsid w:val="008F1E8B"/>
    <w:rsid w:val="008F1FF5"/>
    <w:rsid w:val="008F76AC"/>
    <w:rsid w:val="00900C14"/>
    <w:rsid w:val="00901398"/>
    <w:rsid w:val="00907CCE"/>
    <w:rsid w:val="0091600C"/>
    <w:rsid w:val="0091705A"/>
    <w:rsid w:val="009226BD"/>
    <w:rsid w:val="00923A30"/>
    <w:rsid w:val="00923D1A"/>
    <w:rsid w:val="00924401"/>
    <w:rsid w:val="009306EA"/>
    <w:rsid w:val="00934478"/>
    <w:rsid w:val="00935A1C"/>
    <w:rsid w:val="00936B32"/>
    <w:rsid w:val="00936D61"/>
    <w:rsid w:val="00941446"/>
    <w:rsid w:val="00944764"/>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22C0"/>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D43A9"/>
    <w:rsid w:val="009E0823"/>
    <w:rsid w:val="009E2140"/>
    <w:rsid w:val="009E21AA"/>
    <w:rsid w:val="009E430B"/>
    <w:rsid w:val="009E434A"/>
    <w:rsid w:val="009E494D"/>
    <w:rsid w:val="009F0214"/>
    <w:rsid w:val="009F05D8"/>
    <w:rsid w:val="009F6CBF"/>
    <w:rsid w:val="009F7789"/>
    <w:rsid w:val="00A00016"/>
    <w:rsid w:val="00A007C5"/>
    <w:rsid w:val="00A00C66"/>
    <w:rsid w:val="00A02B92"/>
    <w:rsid w:val="00A11C3A"/>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4725F"/>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42A3"/>
    <w:rsid w:val="00BD6BFA"/>
    <w:rsid w:val="00BE14C0"/>
    <w:rsid w:val="00BE6D56"/>
    <w:rsid w:val="00BE6E3C"/>
    <w:rsid w:val="00BF3B1A"/>
    <w:rsid w:val="00BF410A"/>
    <w:rsid w:val="00C008D1"/>
    <w:rsid w:val="00C12B4B"/>
    <w:rsid w:val="00C158CD"/>
    <w:rsid w:val="00C17F58"/>
    <w:rsid w:val="00C20BD4"/>
    <w:rsid w:val="00C20DC5"/>
    <w:rsid w:val="00C214AA"/>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92F"/>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5728"/>
    <w:rsid w:val="00CD5F7E"/>
    <w:rsid w:val="00CD724F"/>
    <w:rsid w:val="00CF092B"/>
    <w:rsid w:val="00CF3582"/>
    <w:rsid w:val="00CF4409"/>
    <w:rsid w:val="00CF4DAF"/>
    <w:rsid w:val="00D01ADD"/>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334F"/>
    <w:rsid w:val="00D84EFE"/>
    <w:rsid w:val="00D85234"/>
    <w:rsid w:val="00D87ADB"/>
    <w:rsid w:val="00D942D2"/>
    <w:rsid w:val="00D958DF"/>
    <w:rsid w:val="00D97F6B"/>
    <w:rsid w:val="00DA0C31"/>
    <w:rsid w:val="00DA1362"/>
    <w:rsid w:val="00DA19E1"/>
    <w:rsid w:val="00DA1FB4"/>
    <w:rsid w:val="00DA3016"/>
    <w:rsid w:val="00DA480C"/>
    <w:rsid w:val="00DA5996"/>
    <w:rsid w:val="00DA79E3"/>
    <w:rsid w:val="00DB341F"/>
    <w:rsid w:val="00DB42B2"/>
    <w:rsid w:val="00DB547B"/>
    <w:rsid w:val="00DB5EC2"/>
    <w:rsid w:val="00DB6DBF"/>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17E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96C67"/>
    <w:rsid w:val="00EA1C78"/>
    <w:rsid w:val="00EA3496"/>
    <w:rsid w:val="00EA35DE"/>
    <w:rsid w:val="00EA565D"/>
    <w:rsid w:val="00EB28E1"/>
    <w:rsid w:val="00EB2A05"/>
    <w:rsid w:val="00EB2CE7"/>
    <w:rsid w:val="00EB6DE4"/>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3A0A"/>
    <w:rsid w:val="00F255E6"/>
    <w:rsid w:val="00F31475"/>
    <w:rsid w:val="00F32734"/>
    <w:rsid w:val="00F354F4"/>
    <w:rsid w:val="00F35924"/>
    <w:rsid w:val="00F40105"/>
    <w:rsid w:val="00F4250E"/>
    <w:rsid w:val="00F4313E"/>
    <w:rsid w:val="00F43783"/>
    <w:rsid w:val="00F4452A"/>
    <w:rsid w:val="00F47DEE"/>
    <w:rsid w:val="00F51EF7"/>
    <w:rsid w:val="00F537CE"/>
    <w:rsid w:val="00F53FA3"/>
    <w:rsid w:val="00F608B3"/>
    <w:rsid w:val="00F62CD2"/>
    <w:rsid w:val="00F63388"/>
    <w:rsid w:val="00F64D7D"/>
    <w:rsid w:val="00F6564C"/>
    <w:rsid w:val="00F665E8"/>
    <w:rsid w:val="00F6710D"/>
    <w:rsid w:val="00F67207"/>
    <w:rsid w:val="00F743E8"/>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C4EF8"/>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2282023-Board-of-Directors-Meet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rmgr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p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2221</Words>
  <Characters>13436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15626</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cp:lastModifiedBy>
  <cp:revision>4</cp:revision>
  <cp:lastPrinted>2019-09-26T13:16:00Z</cp:lastPrinted>
  <dcterms:created xsi:type="dcterms:W3CDTF">2023-02-21T13:58:00Z</dcterms:created>
  <dcterms:modified xsi:type="dcterms:W3CDTF">2023-02-21T15:22:00Z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